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BodyText"/>
        <w:spacing w:line="276" w:lineRule="auto"/>
        <w:jc w:val="both"/>
        <w:rPr>
          <w:color w:val="000000" w:themeColor="text1"/>
          <w:sz w:val="24"/>
          <w:szCs w:val="24"/>
          <w:lang w:val="ro-RO"/>
        </w:rPr>
      </w:pPr>
    </w:p>
    <w:p w14:paraId="5BAE61EC" w14:textId="77777777" w:rsidR="001D5A6E" w:rsidRPr="00683E26" w:rsidRDefault="001D5A6E" w:rsidP="001D5A6E">
      <w:pPr>
        <w:pStyle w:val="BodyText"/>
        <w:spacing w:line="276" w:lineRule="auto"/>
        <w:jc w:val="center"/>
        <w:rPr>
          <w:color w:val="000000" w:themeColor="text1"/>
          <w:sz w:val="24"/>
          <w:szCs w:val="24"/>
          <w:lang w:val="ro-RO"/>
        </w:rPr>
      </w:pPr>
    </w:p>
    <w:p w14:paraId="4BEF759F" w14:textId="77777777" w:rsidR="001D5A6E" w:rsidRPr="00683E26" w:rsidRDefault="001D5A6E" w:rsidP="001D5A6E">
      <w:pPr>
        <w:pStyle w:val="BodyText"/>
        <w:spacing w:line="276" w:lineRule="auto"/>
        <w:jc w:val="center"/>
        <w:rPr>
          <w:color w:val="000000" w:themeColor="text1"/>
          <w:sz w:val="24"/>
          <w:szCs w:val="24"/>
          <w:lang w:val="ro-RO"/>
        </w:rPr>
      </w:pPr>
    </w:p>
    <w:p w14:paraId="3C803B44" w14:textId="77777777" w:rsidR="001D5A6E" w:rsidRPr="00683E26" w:rsidRDefault="001D5A6E" w:rsidP="001D5A6E">
      <w:pPr>
        <w:pStyle w:val="BodyText"/>
        <w:spacing w:line="276" w:lineRule="auto"/>
        <w:jc w:val="center"/>
        <w:rPr>
          <w:b/>
          <w:color w:val="000000" w:themeColor="text1"/>
          <w:sz w:val="28"/>
          <w:szCs w:val="28"/>
          <w:lang w:val="ro-RO"/>
        </w:rPr>
      </w:pPr>
    </w:p>
    <w:p w14:paraId="1E6E65C3" w14:textId="77777777" w:rsidR="001D5A6E" w:rsidRPr="00683E26" w:rsidRDefault="001D5A6E" w:rsidP="001D5A6E">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BodyText"/>
        <w:spacing w:line="276" w:lineRule="auto"/>
        <w:jc w:val="center"/>
        <w:rPr>
          <w:color w:val="000000" w:themeColor="text1"/>
          <w:sz w:val="28"/>
          <w:szCs w:val="28"/>
          <w:lang w:val="ro-RO"/>
        </w:rPr>
      </w:pPr>
    </w:p>
    <w:p w14:paraId="776566DF" w14:textId="77777777" w:rsidR="001D5A6E" w:rsidRDefault="001D5A6E" w:rsidP="001D5A6E">
      <w:pPr>
        <w:pStyle w:val="BodyText"/>
        <w:spacing w:line="276" w:lineRule="auto"/>
        <w:jc w:val="center"/>
        <w:rPr>
          <w:color w:val="000000" w:themeColor="text1"/>
          <w:sz w:val="28"/>
          <w:szCs w:val="28"/>
          <w:lang w:val="ro-RO"/>
        </w:rPr>
      </w:pPr>
    </w:p>
    <w:p w14:paraId="08287DCA" w14:textId="77777777" w:rsidR="001D5A6E" w:rsidRDefault="001D5A6E" w:rsidP="001D5A6E">
      <w:pPr>
        <w:pStyle w:val="BodyText"/>
        <w:spacing w:line="276" w:lineRule="auto"/>
        <w:jc w:val="center"/>
        <w:rPr>
          <w:color w:val="000000" w:themeColor="text1"/>
          <w:sz w:val="28"/>
          <w:szCs w:val="28"/>
          <w:lang w:val="ro-RO"/>
        </w:rPr>
      </w:pPr>
    </w:p>
    <w:p w14:paraId="146E5CC4" w14:textId="77777777" w:rsidR="001D5A6E" w:rsidRPr="00683E26" w:rsidRDefault="001D5A6E" w:rsidP="001D5A6E">
      <w:pPr>
        <w:pStyle w:val="BodyText"/>
        <w:spacing w:line="276" w:lineRule="auto"/>
        <w:jc w:val="center"/>
        <w:rPr>
          <w:color w:val="000000" w:themeColor="text1"/>
          <w:sz w:val="28"/>
          <w:szCs w:val="28"/>
          <w:lang w:val="ro-RO"/>
        </w:rPr>
      </w:pPr>
    </w:p>
    <w:p w14:paraId="68E98F63" w14:textId="77777777" w:rsidR="001D5A6E" w:rsidRPr="00683E26" w:rsidRDefault="001D5A6E" w:rsidP="001D5A6E">
      <w:pPr>
        <w:pStyle w:val="BodyText"/>
        <w:spacing w:line="276" w:lineRule="auto"/>
        <w:jc w:val="center"/>
        <w:rPr>
          <w:color w:val="000000" w:themeColor="text1"/>
          <w:sz w:val="28"/>
          <w:szCs w:val="28"/>
          <w:lang w:val="ro-RO"/>
        </w:rPr>
      </w:pPr>
    </w:p>
    <w:p w14:paraId="632EAE0B" w14:textId="77777777" w:rsidR="001D5A6E" w:rsidRPr="00683E26" w:rsidRDefault="001D5A6E" w:rsidP="001D5A6E">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10D7B71D" w14:textId="77777777" w:rsidR="001D5A6E" w:rsidRPr="00683E26" w:rsidRDefault="001D5A6E" w:rsidP="001D5A6E">
      <w:pPr>
        <w:pStyle w:val="BodyText"/>
        <w:spacing w:line="276" w:lineRule="auto"/>
        <w:jc w:val="center"/>
        <w:rPr>
          <w:b/>
          <w:bCs/>
          <w:iCs/>
          <w:color w:val="000000" w:themeColor="text1"/>
          <w:sz w:val="28"/>
          <w:szCs w:val="28"/>
          <w:lang w:val="ro-RO"/>
        </w:rPr>
      </w:pPr>
    </w:p>
    <w:p w14:paraId="510729C2" w14:textId="33BBB4F8" w:rsidR="001D5A6E" w:rsidRPr="00683E26" w:rsidRDefault="004A7F73" w:rsidP="001D5A6E">
      <w:pPr>
        <w:pStyle w:val="BodyText"/>
        <w:spacing w:line="276" w:lineRule="auto"/>
        <w:jc w:val="center"/>
        <w:rPr>
          <w:color w:val="000000" w:themeColor="text1"/>
          <w:sz w:val="24"/>
          <w:szCs w:val="24"/>
          <w:lang w:val="ro-RO"/>
        </w:rPr>
      </w:pPr>
      <w:r w:rsidRPr="004A7F73">
        <w:rPr>
          <w:b/>
          <w:bCs/>
          <w:iCs/>
          <w:color w:val="000000" w:themeColor="text1"/>
          <w:sz w:val="28"/>
          <w:szCs w:val="28"/>
          <w:lang w:val="ro-RO"/>
        </w:rPr>
        <w:t>Innovate &amp; Incubate</w:t>
      </w:r>
    </w:p>
    <w:p w14:paraId="1AD9C568" w14:textId="77777777" w:rsidR="001D5A6E" w:rsidRPr="00683E26" w:rsidRDefault="001D5A6E" w:rsidP="001D5A6E">
      <w:pPr>
        <w:pStyle w:val="BodyText"/>
        <w:spacing w:line="276" w:lineRule="auto"/>
        <w:jc w:val="center"/>
        <w:rPr>
          <w:color w:val="000000" w:themeColor="text1"/>
          <w:sz w:val="24"/>
          <w:szCs w:val="24"/>
          <w:lang w:val="ro-RO"/>
        </w:rPr>
      </w:pPr>
    </w:p>
    <w:p w14:paraId="2F76D6A9" w14:textId="77777777" w:rsidR="001D5A6E" w:rsidRPr="00683E26" w:rsidRDefault="001D5A6E" w:rsidP="001D5A6E">
      <w:pPr>
        <w:pStyle w:val="BodyText"/>
        <w:spacing w:line="276" w:lineRule="auto"/>
        <w:jc w:val="center"/>
        <w:rPr>
          <w:color w:val="000000" w:themeColor="text1"/>
          <w:sz w:val="24"/>
          <w:szCs w:val="24"/>
          <w:lang w:val="ro-RO"/>
        </w:rPr>
      </w:pPr>
    </w:p>
    <w:p w14:paraId="7D15EDDA" w14:textId="77777777" w:rsidR="001D5A6E" w:rsidRPr="00683E26" w:rsidRDefault="001D5A6E" w:rsidP="001D5A6E">
      <w:pPr>
        <w:pStyle w:val="BodyText"/>
        <w:spacing w:line="276" w:lineRule="auto"/>
        <w:jc w:val="center"/>
        <w:rPr>
          <w:color w:val="000000" w:themeColor="text1"/>
          <w:sz w:val="24"/>
          <w:szCs w:val="24"/>
          <w:lang w:val="ro-RO"/>
        </w:rPr>
      </w:pPr>
    </w:p>
    <w:p w14:paraId="4D52C9F1" w14:textId="77777777" w:rsidR="001D5A6E" w:rsidRPr="00683E26" w:rsidRDefault="001D5A6E" w:rsidP="001D5A6E">
      <w:pPr>
        <w:pStyle w:val="Body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BodyText"/>
        <w:spacing w:line="276" w:lineRule="auto"/>
        <w:jc w:val="both"/>
        <w:rPr>
          <w:color w:val="000000" w:themeColor="text1"/>
          <w:sz w:val="24"/>
          <w:szCs w:val="24"/>
          <w:lang w:val="ro-RO"/>
        </w:rPr>
      </w:pPr>
    </w:p>
    <w:p w14:paraId="0CA25A7E" w14:textId="77777777" w:rsidR="001D5A6E" w:rsidRPr="00683E26" w:rsidRDefault="001D5A6E" w:rsidP="001D5A6E">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BodyText"/>
        <w:spacing w:line="276" w:lineRule="auto"/>
        <w:jc w:val="both"/>
        <w:rPr>
          <w:color w:val="000000" w:themeColor="text1"/>
          <w:sz w:val="24"/>
          <w:szCs w:val="24"/>
          <w:lang w:val="ro-RO"/>
        </w:rPr>
      </w:pPr>
    </w:p>
    <w:p w14:paraId="12BADDE2" w14:textId="77777777" w:rsidR="001D5A6E" w:rsidRPr="00683E26" w:rsidRDefault="001D5A6E" w:rsidP="001D5A6E">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Body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BodyText"/>
        <w:spacing w:line="276" w:lineRule="auto"/>
        <w:jc w:val="both"/>
        <w:rPr>
          <w:color w:val="000000" w:themeColor="text1"/>
          <w:sz w:val="24"/>
          <w:szCs w:val="24"/>
          <w:lang w:val="ro-RO"/>
        </w:rPr>
      </w:pPr>
    </w:p>
    <w:p w14:paraId="7BBC239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31422FA6" w14:textId="47C41DD2" w:rsidR="00B95A5E" w:rsidRPr="00B95A5E" w:rsidRDefault="001D5A6E" w:rsidP="00B95A5E">
      <w:pPr>
        <w:tabs>
          <w:tab w:val="left" w:pos="720"/>
        </w:tabs>
        <w:spacing w:line="360" w:lineRule="auto"/>
        <w:jc w:val="both"/>
        <w:rPr>
          <w:b/>
          <w:i/>
          <w:sz w:val="24"/>
          <w:szCs w:val="24"/>
          <w:lang w:val="ro-RO"/>
        </w:rPr>
      </w:pPr>
      <w:r w:rsidRPr="00B95A5E">
        <w:rPr>
          <w:bCs/>
          <w:iCs/>
          <w:sz w:val="28"/>
          <w:szCs w:val="28"/>
          <w:lang w:val="ro-RO"/>
        </w:rPr>
        <w:tab/>
      </w:r>
      <w:bookmarkStart w:id="2" w:name="Cap2"/>
      <w:r w:rsidR="00333896" w:rsidRPr="00333896">
        <w:rPr>
          <w:bCs/>
          <w:iCs/>
          <w:sz w:val="24"/>
          <w:szCs w:val="24"/>
          <w:lang w:val="ro-RO"/>
        </w:rPr>
        <w:t>Având în vedere cele enunțate mai sus, Universitatea Națională de Știință și Tehnologie POLITEHNICA București, în calitate de membră a Alianței Române a Universităților Tehnice, propune organizarea celei de-a treia ediții a proiectului Innovate &amp; Incubate (conferințe, dezbateri și workshop-uri în antreprenoriat, tehnologie și știință,  managementul afacerilor, cu participarea studenților și a reprezentanților mediului preuniversitar) în vederea creșterii calității și prestigiului învățământului superior din țara noastră, încurajării și susținerii unei participări mai largi la programele de studii din domeniul tehnologiei și științei, creșterii transparenței informațiilor și furnizării de îndrumare cu privire la oportunitățile și rezultatele educaționale pentru alegerea informată a parcursului educațional și profesional.</w:t>
      </w:r>
    </w:p>
    <w:p w14:paraId="2A6B9DE9" w14:textId="77777777" w:rsidR="00B3728E" w:rsidRPr="00B3728E" w:rsidRDefault="00137410" w:rsidP="00B3728E">
      <w:pPr>
        <w:spacing w:line="360" w:lineRule="auto"/>
        <w:jc w:val="both"/>
        <w:rPr>
          <w:sz w:val="24"/>
          <w:szCs w:val="24"/>
          <w:lang w:val="ro-RO"/>
        </w:rPr>
      </w:pPr>
      <w:r w:rsidRPr="00050B84">
        <w:rPr>
          <w:sz w:val="24"/>
          <w:szCs w:val="24"/>
          <w:lang w:val="ro-RO"/>
        </w:rPr>
        <w:tab/>
      </w:r>
      <w:r w:rsidR="00B3728E" w:rsidRPr="00B3728E">
        <w:rPr>
          <w:sz w:val="24"/>
          <w:szCs w:val="24"/>
          <w:lang w:val="ro-RO"/>
        </w:rPr>
        <w:t xml:space="preserve">În perioada </w:t>
      </w:r>
      <w:r w:rsidR="00B3728E" w:rsidRPr="00B3728E">
        <w:rPr>
          <w:b/>
          <w:bCs/>
          <w:sz w:val="24"/>
          <w:szCs w:val="24"/>
          <w:lang w:val="ro-RO"/>
        </w:rPr>
        <w:t>21-22 noiembrie 2025</w:t>
      </w:r>
      <w:r w:rsidR="00B3728E" w:rsidRPr="00B3728E">
        <w:rPr>
          <w:sz w:val="24"/>
          <w:szCs w:val="24"/>
          <w:lang w:val="ro-RO"/>
        </w:rPr>
        <w:t xml:space="preserve">, 800 studenți, elevi și cadre didactice din unitățile de învățământ preuniversitar vor fi invitați să participe la conferințe, dezbateri și workshop-uri în antreprenoriat, tehnologie și știință, managementul afacerilor în cadrul celei de-a treia ediții a proiectului Innovate &amp; Incubate, un eveniment în cadrul căruia studenții, alături de elevi și cadre didactice din mediul preuniversitar interesați de domeniile de studiu din domeniul tehnologiei și științei, precum și de </w:t>
      </w:r>
      <w:r w:rsidR="00B3728E" w:rsidRPr="00B3728E">
        <w:rPr>
          <w:sz w:val="24"/>
          <w:szCs w:val="24"/>
          <w:lang w:val="ro-RO"/>
        </w:rPr>
        <w:lastRenderedPageBreak/>
        <w:t>profesori universitari, reprezentanți ai companiilor de profil și alți specialiști în domeniu vor lua parte la conferințe tematice, dezbateri, workshop-uri, prelegeri academice și prezentări de companii, soluții și produse și vor fi încurajați să descopere împreună modalitățile prin care tehnologia și știința își găsește aplicabilitate în sfera antreprenoriatului și în managementul afacerilor și mecanismele dezvoltării unei afaceri, de la identificarea oportunității, la evaluarea acesteia și înțelegerea legăturii sale cu piața, la designul conceptului, fabricarea produsului și comercializarea acestuia în condiții profitabile.</w:t>
      </w:r>
    </w:p>
    <w:p w14:paraId="61BA6628" w14:textId="7D95C6A9" w:rsidR="00302774" w:rsidRPr="00683E26" w:rsidRDefault="00B3728E" w:rsidP="00B3728E">
      <w:pPr>
        <w:spacing w:line="360" w:lineRule="auto"/>
        <w:jc w:val="both"/>
        <w:rPr>
          <w:b/>
          <w:bCs/>
          <w:color w:val="000000" w:themeColor="text1"/>
          <w:sz w:val="24"/>
          <w:szCs w:val="24"/>
          <w:lang w:val="ro-RO"/>
        </w:rPr>
      </w:pPr>
      <w:r w:rsidRPr="00B3728E">
        <w:rPr>
          <w:sz w:val="24"/>
          <w:szCs w:val="24"/>
          <w:lang w:val="ro-RO"/>
        </w:rPr>
        <w:t>În timpul celor de 2 zile de eveniment, reprezentanți ai companiilor, antreprenori, persoane aflate la conducerea celor mai mari companii din țară, instituții și autorități din educație și din domeniile de reglementare se vor reuni, în calitate de invitați, participanți și mentori, pentru a aduce în atenția studenților, cadrelor didactice și elevilor participanți noțiuni esențiale de ingineria afacerilor, tehnologie și știință.</w:t>
      </w:r>
    </w:p>
    <w:p w14:paraId="0ADF1B6F" w14:textId="46EDF3DB" w:rsidR="00B95A5E" w:rsidRPr="00683E26" w:rsidRDefault="00B95A5E" w:rsidP="00302774">
      <w:pPr>
        <w:spacing w:line="360" w:lineRule="auto"/>
        <w:jc w:val="both"/>
        <w:rPr>
          <w:b/>
          <w:bCs/>
          <w:color w:val="000000" w:themeColor="text1"/>
          <w:sz w:val="24"/>
          <w:szCs w:val="24"/>
          <w:lang w:val="ro-RO"/>
        </w:rPr>
      </w:pPr>
    </w:p>
    <w:p w14:paraId="628C696F"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3FB5AAC1" w14:textId="77777777" w:rsidR="001D5A6E" w:rsidRPr="00683E26" w:rsidRDefault="001D5A6E" w:rsidP="001D5A6E">
      <w:pPr>
        <w:pStyle w:val="Body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Body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270BD883" w14:textId="07ED404F" w:rsidR="005B677C" w:rsidRPr="00683E26" w:rsidRDefault="001D5A6E" w:rsidP="005B677C">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5B677C" w:rsidRPr="00683E26">
        <w:rPr>
          <w:b/>
          <w:bCs/>
          <w:color w:val="000000" w:themeColor="text1"/>
          <w:sz w:val="24"/>
          <w:szCs w:val="24"/>
          <w:lang w:val="ro-RO"/>
        </w:rPr>
        <w:t xml:space="preserve">Obiectiv: </w:t>
      </w:r>
      <w:r w:rsidR="005B677C" w:rsidRPr="00683E26">
        <w:rPr>
          <w:color w:val="000000" w:themeColor="text1"/>
          <w:sz w:val="24"/>
          <w:szCs w:val="24"/>
          <w:lang w:val="ro-RO"/>
        </w:rPr>
        <w:t xml:space="preserve">Prestarea serviciilor de organizare </w:t>
      </w:r>
      <w:r w:rsidR="005B677C">
        <w:rPr>
          <w:color w:val="000000" w:themeColor="text1"/>
          <w:sz w:val="24"/>
          <w:szCs w:val="24"/>
          <w:lang w:val="ro-RO"/>
        </w:rPr>
        <w:t>conferințe - fizic</w:t>
      </w:r>
      <w:r w:rsidR="005B677C" w:rsidRPr="00683E26">
        <w:rPr>
          <w:color w:val="000000" w:themeColor="text1"/>
          <w:sz w:val="24"/>
          <w:szCs w:val="24"/>
          <w:lang w:val="ro-RO"/>
        </w:rPr>
        <w:t xml:space="preserve"> pentru evenimentul </w:t>
      </w:r>
      <w:r w:rsidR="00B3728E" w:rsidRPr="00B3728E">
        <w:rPr>
          <w:b/>
          <w:bCs/>
        </w:rPr>
        <w:t>Innovate &amp; Incubate</w:t>
      </w:r>
      <w:r w:rsidR="005B677C" w:rsidRPr="00683E26">
        <w:rPr>
          <w:color w:val="000000" w:themeColor="text1"/>
          <w:sz w:val="24"/>
          <w:szCs w:val="24"/>
          <w:lang w:val="ro-RO"/>
        </w:rPr>
        <w:t xml:space="preserve">, la care sunt așteptați să participe </w:t>
      </w:r>
      <w:r w:rsidR="005B677C">
        <w:rPr>
          <w:color w:val="000000" w:themeColor="text1"/>
          <w:sz w:val="24"/>
          <w:szCs w:val="24"/>
          <w:lang w:val="ro-RO"/>
        </w:rPr>
        <w:t>800</w:t>
      </w:r>
      <w:r w:rsidR="005B677C" w:rsidRPr="00683E26">
        <w:rPr>
          <w:sz w:val="24"/>
          <w:szCs w:val="24"/>
          <w:lang w:val="ro-RO"/>
        </w:rPr>
        <w:t xml:space="preserve"> elevi</w:t>
      </w:r>
      <w:r w:rsidR="005B677C">
        <w:rPr>
          <w:sz w:val="24"/>
          <w:szCs w:val="24"/>
          <w:lang w:val="ro-RO"/>
        </w:rPr>
        <w:t>, cadre didactice</w:t>
      </w:r>
      <w:r w:rsidR="005B677C" w:rsidRPr="00683E26">
        <w:rPr>
          <w:sz w:val="24"/>
          <w:szCs w:val="24"/>
          <w:lang w:val="ro-RO"/>
        </w:rPr>
        <w:t xml:space="preserve"> și studenți.</w:t>
      </w:r>
    </w:p>
    <w:p w14:paraId="0C7DF2D5" w14:textId="77777777" w:rsidR="005B677C" w:rsidRPr="00683E26" w:rsidRDefault="005B677C" w:rsidP="005B677C">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19 – 22 noiembrie</w:t>
      </w:r>
      <w:r w:rsidRPr="00683E26">
        <w:rPr>
          <w:b/>
          <w:bCs/>
          <w:color w:val="000000" w:themeColor="text1"/>
          <w:sz w:val="24"/>
          <w:szCs w:val="24"/>
          <w:lang w:val="ro-RO"/>
        </w:rPr>
        <w:t xml:space="preserve"> 202</w:t>
      </w:r>
      <w:r>
        <w:rPr>
          <w:b/>
          <w:bCs/>
          <w:color w:val="000000" w:themeColor="text1"/>
          <w:sz w:val="24"/>
          <w:szCs w:val="24"/>
          <w:lang w:val="ro-RO"/>
        </w:rPr>
        <w:t>5.</w:t>
      </w:r>
    </w:p>
    <w:p w14:paraId="56D995AB" w14:textId="77777777" w:rsidR="005B677C" w:rsidRPr="00683E26" w:rsidRDefault="005B677C" w:rsidP="005B677C">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24A8C490" w14:textId="744F951D" w:rsidR="00137410" w:rsidRPr="00683E26" w:rsidRDefault="005B677C" w:rsidP="005B677C">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Evenimentul se va desfășura în</w:t>
      </w:r>
      <w:r>
        <w:rPr>
          <w:color w:val="000000" w:themeColor="text1"/>
          <w:sz w:val="24"/>
          <w:szCs w:val="24"/>
          <w:lang w:val="ro-RO"/>
        </w:rPr>
        <w:t xml:space="preserve"> perioada 21-22 noiembrie</w:t>
      </w:r>
      <w:r w:rsidRPr="00683E26">
        <w:rPr>
          <w:color w:val="000000" w:themeColor="text1"/>
          <w:sz w:val="24"/>
          <w:szCs w:val="24"/>
          <w:lang w:val="ro-RO"/>
        </w:rPr>
        <w:t xml:space="preserve"> or</w:t>
      </w:r>
      <w:r>
        <w:rPr>
          <w:color w:val="000000" w:themeColor="text1"/>
          <w:sz w:val="24"/>
          <w:szCs w:val="24"/>
          <w:lang w:val="ro-RO"/>
        </w:rPr>
        <w:t>ele</w:t>
      </w:r>
      <w:r w:rsidRPr="00683E26">
        <w:rPr>
          <w:color w:val="000000" w:themeColor="text1"/>
          <w:sz w:val="24"/>
          <w:szCs w:val="24"/>
          <w:lang w:val="ro-RO"/>
        </w:rPr>
        <w:t xml:space="preserve"> 08:00</w:t>
      </w:r>
      <w:r>
        <w:rPr>
          <w:color w:val="000000" w:themeColor="text1"/>
          <w:sz w:val="24"/>
          <w:szCs w:val="24"/>
          <w:lang w:val="ro-RO"/>
        </w:rPr>
        <w:t xml:space="preserve"> -18</w:t>
      </w:r>
      <w:r w:rsidRPr="00683E26">
        <w:rPr>
          <w:color w:val="000000" w:themeColor="text1"/>
          <w:sz w:val="24"/>
          <w:szCs w:val="24"/>
          <w:lang w:val="ro-RO"/>
        </w:rPr>
        <w:t>:00.</w:t>
      </w:r>
      <w:r w:rsidR="00137410" w:rsidRPr="00683E26">
        <w:rPr>
          <w:color w:val="000000" w:themeColor="text1"/>
          <w:sz w:val="24"/>
          <w:szCs w:val="24"/>
          <w:lang w:val="ro-RO"/>
        </w:rPr>
        <w:tab/>
        <w:t xml:space="preserve">      </w:t>
      </w:r>
    </w:p>
    <w:p w14:paraId="79898F44" w14:textId="5F5BDBED" w:rsidR="00137410" w:rsidRPr="00683E26" w:rsidRDefault="00137410"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sidR="00533F17">
        <w:rPr>
          <w:color w:val="000000" w:themeColor="text1"/>
          <w:sz w:val="24"/>
          <w:szCs w:val="24"/>
          <w:lang w:val="ro-RO"/>
        </w:rPr>
        <w:t>organizare conferinte</w:t>
      </w:r>
      <w:r w:rsidR="008B7F78">
        <w:rPr>
          <w:color w:val="000000" w:themeColor="text1"/>
          <w:sz w:val="24"/>
          <w:szCs w:val="24"/>
          <w:lang w:val="ro-RO"/>
        </w:rPr>
        <w:t>-fizic</w:t>
      </w:r>
      <w:r w:rsidR="00533F17">
        <w:rPr>
          <w:color w:val="000000" w:themeColor="text1"/>
          <w:sz w:val="24"/>
          <w:szCs w:val="24"/>
          <w:lang w:val="ro-RO"/>
        </w:rPr>
        <w:t xml:space="preserve"> </w:t>
      </w:r>
      <w:r w:rsidRPr="00683E26">
        <w:rPr>
          <w:color w:val="000000" w:themeColor="text1"/>
          <w:sz w:val="24"/>
          <w:szCs w:val="24"/>
          <w:lang w:val="ro-RO"/>
        </w:rPr>
        <w:t>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D4A246E" w14:textId="77777777" w:rsidR="00137410" w:rsidRPr="00683E26" w:rsidRDefault="00137410" w:rsidP="0013741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4FC3D19E" w14:textId="10646C33" w:rsidR="001D5A6E" w:rsidRPr="00683E26" w:rsidRDefault="001D5A6E"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264D6B8C" w14:textId="77777777" w:rsidR="001D5A6E"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323A8D6" w14:textId="77777777" w:rsidR="001D5A6E" w:rsidRDefault="001D5A6E" w:rsidP="001D5A6E">
      <w:pPr>
        <w:pStyle w:val="BodyText"/>
        <w:spacing w:line="276" w:lineRule="auto"/>
        <w:jc w:val="both"/>
        <w:rPr>
          <w:color w:val="000000" w:themeColor="text1"/>
          <w:sz w:val="24"/>
          <w:szCs w:val="24"/>
          <w:lang w:val="ro-RO"/>
        </w:rPr>
      </w:pPr>
    </w:p>
    <w:p w14:paraId="0A10DE74" w14:textId="3563A56E" w:rsidR="001D5A6E" w:rsidRDefault="001D5A6E" w:rsidP="001D5A6E">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770DC7">
        <w:rPr>
          <w:color w:val="000000" w:themeColor="text1"/>
          <w:sz w:val="24"/>
          <w:szCs w:val="24"/>
          <w:lang w:val="ro-RO"/>
        </w:rPr>
        <w:t>C</w:t>
      </w:r>
      <w:r w:rsidRPr="00334BCD">
        <w:rPr>
          <w:color w:val="000000" w:themeColor="text1"/>
          <w:sz w:val="24"/>
          <w:szCs w:val="24"/>
          <w:lang w:val="ro-RO"/>
        </w:rPr>
        <w:t xml:space="preserve"> pentru organizarea seriei de conferințe.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743" w:type="dxa"/>
        <w:tblInd w:w="175" w:type="dxa"/>
        <w:tblLook w:val="04A0" w:firstRow="1" w:lastRow="0" w:firstColumn="1" w:lastColumn="0" w:noHBand="0" w:noVBand="1"/>
      </w:tblPr>
      <w:tblGrid>
        <w:gridCol w:w="636"/>
        <w:gridCol w:w="3413"/>
        <w:gridCol w:w="5694"/>
      </w:tblGrid>
      <w:tr w:rsidR="001D5A6E" w:rsidRPr="00683E26" w14:paraId="30092D6A" w14:textId="77777777" w:rsidTr="00F70491">
        <w:trPr>
          <w:trHeight w:val="440"/>
        </w:trPr>
        <w:tc>
          <w:tcPr>
            <w:tcW w:w="461" w:type="dxa"/>
            <w:vAlign w:val="center"/>
          </w:tcPr>
          <w:bookmarkEnd w:id="4"/>
          <w:p w14:paraId="67FF289D"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42C5FB9B"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40524AB7"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Descriere</w:t>
            </w:r>
          </w:p>
        </w:tc>
      </w:tr>
      <w:tr w:rsidR="001D5A6E" w:rsidRPr="004A7A51" w14:paraId="11C3CB51" w14:textId="77777777" w:rsidTr="00F70491">
        <w:trPr>
          <w:trHeight w:val="1574"/>
        </w:trPr>
        <w:tc>
          <w:tcPr>
            <w:tcW w:w="461" w:type="dxa"/>
            <w:vAlign w:val="center"/>
          </w:tcPr>
          <w:p w14:paraId="6B201AAA" w14:textId="77777777" w:rsidR="001D5A6E" w:rsidRPr="00683E26" w:rsidRDefault="001D5A6E" w:rsidP="00F70491">
            <w:pPr>
              <w:spacing w:line="276" w:lineRule="auto"/>
              <w:jc w:val="center"/>
              <w:rPr>
                <w:lang w:val="ro-RO"/>
              </w:rPr>
            </w:pPr>
            <w:r w:rsidRPr="00683E26">
              <w:rPr>
                <w:lang w:val="ro-RO"/>
              </w:rPr>
              <w:t>1</w:t>
            </w:r>
          </w:p>
        </w:tc>
        <w:tc>
          <w:tcPr>
            <w:tcW w:w="3470" w:type="dxa"/>
            <w:vAlign w:val="center"/>
          </w:tcPr>
          <w:p w14:paraId="49ABDFD2" w14:textId="77777777" w:rsidR="001D5A6E" w:rsidRPr="00683E26" w:rsidRDefault="001D5A6E" w:rsidP="00F70491">
            <w:pPr>
              <w:spacing w:line="276" w:lineRule="auto"/>
              <w:rPr>
                <w:lang w:val="ro-RO"/>
              </w:rPr>
            </w:pPr>
            <w:r w:rsidRPr="00F4562B">
              <w:rPr>
                <w:lang w:val="ro-RO"/>
              </w:rPr>
              <w:t>INSTALA</w:t>
            </w:r>
            <w:r>
              <w:rPr>
                <w:lang w:val="ro-RO"/>
              </w:rPr>
              <w:t>Ț</w:t>
            </w:r>
            <w:r w:rsidRPr="00F4562B">
              <w:rPr>
                <w:lang w:val="ro-RO"/>
              </w:rPr>
              <w:t xml:space="preserve">IE DE SUNET </w:t>
            </w:r>
          </w:p>
        </w:tc>
        <w:tc>
          <w:tcPr>
            <w:tcW w:w="5812" w:type="dxa"/>
          </w:tcPr>
          <w:p w14:paraId="61B66310" w14:textId="03D05173" w:rsidR="001D5A6E" w:rsidRPr="00F4562B" w:rsidRDefault="0069310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Pr>
                <w:rFonts w:eastAsia="ArialMT"/>
                <w:sz w:val="24"/>
                <w:szCs w:val="24"/>
                <w:lang w:val="ro-RO"/>
              </w:rPr>
              <w:t xml:space="preserve"> </w:t>
            </w:r>
            <w:r w:rsidR="001D5A6E" w:rsidRPr="00F4562B">
              <w:rPr>
                <w:rFonts w:eastAsia="ArialMT"/>
                <w:sz w:val="24"/>
                <w:szCs w:val="24"/>
                <w:lang w:val="ro-RO"/>
              </w:rPr>
              <w:t>Sistem</w:t>
            </w:r>
            <w:r w:rsidR="001D5A6E">
              <w:rPr>
                <w:rFonts w:eastAsia="ArialMT"/>
                <w:sz w:val="24"/>
                <w:szCs w:val="24"/>
                <w:lang w:val="ro-RO"/>
              </w:rPr>
              <w:t>e</w:t>
            </w:r>
            <w:r w:rsidR="001D5A6E" w:rsidRPr="00F4562B">
              <w:rPr>
                <w:rFonts w:eastAsia="ArialMT"/>
                <w:sz w:val="24"/>
                <w:szCs w:val="24"/>
                <w:lang w:val="ro-RO"/>
              </w:rPr>
              <w:t xml:space="preserve"> de sunet compus</w:t>
            </w:r>
            <w:r w:rsidR="001D5A6E">
              <w:rPr>
                <w:rFonts w:eastAsia="ArialMT"/>
                <w:sz w:val="24"/>
                <w:szCs w:val="24"/>
                <w:lang w:val="ro-RO"/>
              </w:rPr>
              <w:t>e</w:t>
            </w:r>
            <w:r w:rsidR="001D5A6E" w:rsidRPr="00F4562B">
              <w:rPr>
                <w:rFonts w:eastAsia="ArialMT"/>
                <w:sz w:val="24"/>
                <w:szCs w:val="24"/>
                <w:lang w:val="ro-RO"/>
              </w:rPr>
              <w:t xml:space="preserve"> din </w:t>
            </w:r>
            <w:r w:rsidR="001D5A6E">
              <w:rPr>
                <w:rFonts w:eastAsia="ArialMT"/>
                <w:sz w:val="24"/>
                <w:szCs w:val="24"/>
                <w:lang w:val="ro-RO"/>
              </w:rPr>
              <w:t>câte</w:t>
            </w:r>
            <w:r w:rsidR="001D5A6E" w:rsidRPr="00F4562B">
              <w:rPr>
                <w:rFonts w:eastAsia="ArialMT"/>
                <w:sz w:val="24"/>
                <w:szCs w:val="24"/>
                <w:lang w:val="ro-RO"/>
              </w:rPr>
              <w:t xml:space="preserve"> </w:t>
            </w:r>
            <w:r w:rsidR="001D5A6E">
              <w:rPr>
                <w:rFonts w:eastAsia="ArialMT"/>
                <w:sz w:val="24"/>
                <w:szCs w:val="24"/>
                <w:lang w:val="ro-RO"/>
              </w:rPr>
              <w:t>2</w:t>
            </w:r>
            <w:r w:rsidR="001D5A6E" w:rsidRPr="00F4562B">
              <w:rPr>
                <w:rFonts w:eastAsia="ArialMT"/>
                <w:sz w:val="24"/>
                <w:szCs w:val="24"/>
                <w:lang w:val="ro-RO"/>
              </w:rPr>
              <w:t xml:space="preserve"> boxe active pe stativ cu o putere minim</w:t>
            </w:r>
            <w:r w:rsidR="001D5A6E">
              <w:rPr>
                <w:rFonts w:eastAsia="ArialMT"/>
                <w:sz w:val="24"/>
                <w:szCs w:val="24"/>
                <w:lang w:val="ro-RO"/>
              </w:rPr>
              <w:t>ă</w:t>
            </w:r>
            <w:r w:rsidR="001D5A6E" w:rsidRPr="00F4562B">
              <w:rPr>
                <w:rFonts w:eastAsia="ArialMT"/>
                <w:sz w:val="24"/>
                <w:szCs w:val="24"/>
                <w:lang w:val="ro-RO"/>
              </w:rPr>
              <w:t xml:space="preserve"> de 750w. Boxele vor </w:t>
            </w:r>
            <w:r w:rsidR="001D5A6E">
              <w:rPr>
                <w:rFonts w:eastAsia="ArialMT"/>
                <w:sz w:val="24"/>
                <w:szCs w:val="24"/>
                <w:lang w:val="ro-RO"/>
              </w:rPr>
              <w:t>fi dispuse în sălile de conferințe din locațiile UNSTPB. Toate boxele vor fi prevăzute cu stativ;</w:t>
            </w:r>
          </w:p>
          <w:p w14:paraId="2D034C9B" w14:textId="1EAD8838" w:rsidR="001D5A6E" w:rsidRPr="00F4562B" w:rsidRDefault="0069310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sidRPr="00F4562B">
              <w:rPr>
                <w:rFonts w:eastAsia="ArialMT"/>
                <w:sz w:val="24"/>
                <w:szCs w:val="24"/>
                <w:lang w:val="ro-RO"/>
              </w:rPr>
              <w:t>Mixer</w:t>
            </w:r>
            <w:r w:rsidR="001D5A6E">
              <w:rPr>
                <w:rFonts w:eastAsia="ArialMT"/>
                <w:sz w:val="24"/>
                <w:szCs w:val="24"/>
                <w:lang w:val="ro-RO"/>
              </w:rPr>
              <w:t>e</w:t>
            </w:r>
            <w:r w:rsidR="001D5A6E" w:rsidRPr="00F4562B">
              <w:rPr>
                <w:rFonts w:eastAsia="ArialMT"/>
                <w:sz w:val="24"/>
                <w:szCs w:val="24"/>
                <w:lang w:val="ro-RO"/>
              </w:rPr>
              <w:t xml:space="preserve"> de sunet digital</w:t>
            </w:r>
            <w:r w:rsidR="001D5A6E">
              <w:rPr>
                <w:rFonts w:eastAsia="ArialMT"/>
                <w:sz w:val="24"/>
                <w:szCs w:val="24"/>
                <w:lang w:val="ro-RO"/>
              </w:rPr>
              <w:t>e</w:t>
            </w:r>
            <w:r w:rsidR="001D5A6E" w:rsidRPr="00F4562B">
              <w:rPr>
                <w:rFonts w:eastAsia="ArialMT"/>
                <w:sz w:val="24"/>
                <w:szCs w:val="24"/>
                <w:lang w:val="ro-RO"/>
              </w:rPr>
              <w:t xml:space="preserve"> cu minim</w:t>
            </w:r>
            <w:r w:rsidR="001D5A6E">
              <w:rPr>
                <w:rFonts w:eastAsia="ArialMT"/>
                <w:sz w:val="24"/>
                <w:szCs w:val="24"/>
                <w:lang w:val="ro-RO"/>
              </w:rPr>
              <w:t>um</w:t>
            </w:r>
            <w:r w:rsidR="001D5A6E" w:rsidRPr="00F4562B">
              <w:rPr>
                <w:rFonts w:eastAsia="ArialMT"/>
                <w:sz w:val="24"/>
                <w:szCs w:val="24"/>
                <w:lang w:val="ro-RO"/>
              </w:rPr>
              <w:t xml:space="preserve"> </w:t>
            </w:r>
            <w:r w:rsidR="001D5A6E">
              <w:rPr>
                <w:rFonts w:eastAsia="ArialMT"/>
                <w:sz w:val="24"/>
                <w:szCs w:val="24"/>
                <w:lang w:val="ro-RO"/>
              </w:rPr>
              <w:t>8In/4Out;</w:t>
            </w:r>
          </w:p>
          <w:p w14:paraId="729EB072" w14:textId="431A7C98" w:rsidR="001D5A6E" w:rsidRPr="00F4562B" w:rsidRDefault="0069310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handheld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r w:rsidR="001D5A6E" w:rsidRPr="00F4562B">
              <w:rPr>
                <w:rFonts w:eastAsia="ArialMT"/>
                <w:sz w:val="24"/>
                <w:szCs w:val="24"/>
                <w:lang w:val="ro-RO"/>
              </w:rPr>
              <w:t xml:space="preserve"> </w:t>
            </w:r>
          </w:p>
          <w:p w14:paraId="4CE3F2F5" w14:textId="012A0D8B" w:rsidR="001D5A6E" w:rsidRDefault="0069310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headset skincolor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p>
          <w:p w14:paraId="5FEC906C" w14:textId="19663DDD" w:rsidR="001D5A6E" w:rsidRDefault="0069310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Pr>
                <w:rFonts w:eastAsia="ArialMT"/>
                <w:sz w:val="24"/>
                <w:szCs w:val="24"/>
                <w:lang w:val="ro-RO"/>
              </w:rPr>
              <w:t xml:space="preserve"> seturi de conectică XLR, stative de microfon, accesorii;</w:t>
            </w:r>
          </w:p>
          <w:p w14:paraId="116D5CE6" w14:textId="3B682B5E" w:rsidR="001D5A6E" w:rsidRDefault="0069310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Pr>
                <w:rFonts w:eastAsia="ArialMT"/>
                <w:sz w:val="24"/>
                <w:szCs w:val="24"/>
                <w:lang w:val="ro-RO"/>
              </w:rPr>
              <w:t xml:space="preserve"> seturi de câte 2 microfoane de tip desk cu fir care vor fi amplasate pe pupitrul de vorbitor;</w:t>
            </w:r>
          </w:p>
          <w:p w14:paraId="2B9198FB" w14:textId="15F59D77" w:rsidR="001D5A6E" w:rsidRDefault="0069310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1D5A6E" w:rsidRPr="00637B29">
              <w:rPr>
                <w:rFonts w:eastAsia="ArialMT"/>
                <w:sz w:val="24"/>
                <w:szCs w:val="24"/>
                <w:lang w:val="ro-RO"/>
              </w:rPr>
              <w:t xml:space="preserve"> Surse de redare pentru materialele audio (laptop, USB Player). </w:t>
            </w:r>
          </w:p>
          <w:p w14:paraId="0BA69C3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sisteme de sunet portabile cu acumulator, cu microfon wireless si posibilitate redare USB, minim 500w, autonomie minim 8 ore</w:t>
            </w:r>
          </w:p>
        </w:tc>
      </w:tr>
      <w:tr w:rsidR="001D5A6E" w:rsidRPr="004A7A51" w14:paraId="46149910" w14:textId="77777777" w:rsidTr="00F70491">
        <w:trPr>
          <w:trHeight w:val="1214"/>
        </w:trPr>
        <w:tc>
          <w:tcPr>
            <w:tcW w:w="461" w:type="dxa"/>
            <w:vAlign w:val="center"/>
          </w:tcPr>
          <w:p w14:paraId="1F5B9408" w14:textId="77777777" w:rsidR="001D5A6E" w:rsidRPr="00683E26" w:rsidRDefault="001D5A6E" w:rsidP="00F70491">
            <w:pPr>
              <w:spacing w:line="276" w:lineRule="auto"/>
              <w:jc w:val="center"/>
              <w:rPr>
                <w:lang w:val="ro-RO"/>
              </w:rPr>
            </w:pPr>
            <w:r w:rsidRPr="00683E26">
              <w:rPr>
                <w:lang w:val="ro-RO"/>
              </w:rPr>
              <w:lastRenderedPageBreak/>
              <w:t>2</w:t>
            </w:r>
          </w:p>
        </w:tc>
        <w:tc>
          <w:tcPr>
            <w:tcW w:w="3470" w:type="dxa"/>
            <w:vAlign w:val="center"/>
          </w:tcPr>
          <w:p w14:paraId="174AB3D3" w14:textId="77777777" w:rsidR="001D5A6E" w:rsidRPr="006D1C19" w:rsidRDefault="001D5A6E" w:rsidP="00F70491">
            <w:pPr>
              <w:widowControl/>
              <w:adjustRightInd w:val="0"/>
              <w:contextualSpacing/>
              <w:rPr>
                <w:rFonts w:eastAsia="ArialMT"/>
                <w:bCs/>
                <w:sz w:val="24"/>
                <w:szCs w:val="24"/>
              </w:rPr>
            </w:pPr>
            <w:r w:rsidRPr="006D1C19">
              <w:rPr>
                <w:rFonts w:eastAsia="ArialMT"/>
                <w:bCs/>
                <w:sz w:val="24"/>
                <w:szCs w:val="24"/>
              </w:rPr>
              <w:t>ECHIPAMENTE DE LUMINI</w:t>
            </w:r>
          </w:p>
          <w:p w14:paraId="27E172FB" w14:textId="77777777" w:rsidR="001D5A6E" w:rsidRPr="00683E26" w:rsidRDefault="001D5A6E" w:rsidP="00F70491">
            <w:pPr>
              <w:widowControl/>
              <w:autoSpaceDE/>
              <w:autoSpaceDN/>
              <w:contextualSpacing/>
              <w:rPr>
                <w:lang w:val="ro-RO"/>
              </w:rPr>
            </w:pPr>
          </w:p>
        </w:tc>
        <w:tc>
          <w:tcPr>
            <w:tcW w:w="5812" w:type="dxa"/>
          </w:tcPr>
          <w:p w14:paraId="0F04CC0C" w14:textId="1A4DC1EE" w:rsidR="001D5A6E" w:rsidRPr="00683E26"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1</w:t>
            </w:r>
            <w:r w:rsidR="001D5A6E">
              <w:rPr>
                <w:rFonts w:eastAsia="ArialMT"/>
                <w:sz w:val="24"/>
                <w:szCs w:val="24"/>
                <w:lang w:val="ro-RO"/>
              </w:rPr>
              <w:t>0</w:t>
            </w:r>
            <w:r w:rsidR="001D5A6E" w:rsidRPr="00637B29">
              <w:rPr>
                <w:rFonts w:eastAsia="ArialMT"/>
                <w:sz w:val="24"/>
                <w:szCs w:val="24"/>
                <w:lang w:val="ro-RO"/>
              </w:rPr>
              <w:t xml:space="preserve"> </w:t>
            </w:r>
            <w:r w:rsidR="001D5A6E">
              <w:rPr>
                <w:rFonts w:eastAsia="ArialMT"/>
                <w:sz w:val="24"/>
                <w:szCs w:val="24"/>
                <w:lang w:val="ro-RO"/>
              </w:rPr>
              <w:t>Led Soft Panel RGBWW</w:t>
            </w:r>
            <w:r w:rsidR="001D5A6E" w:rsidRPr="00637B29">
              <w:rPr>
                <w:rFonts w:eastAsia="ArialMT"/>
                <w:sz w:val="24"/>
                <w:szCs w:val="24"/>
                <w:lang w:val="ro-RO"/>
              </w:rPr>
              <w:t xml:space="preserve"> cu led de minim</w:t>
            </w:r>
            <w:r w:rsidR="001D5A6E">
              <w:rPr>
                <w:rFonts w:eastAsia="ArialMT"/>
                <w:sz w:val="24"/>
                <w:szCs w:val="24"/>
                <w:lang w:val="ro-RO"/>
              </w:rPr>
              <w:t>um</w:t>
            </w:r>
            <w:r w:rsidR="001D5A6E" w:rsidRPr="00637B29">
              <w:rPr>
                <w:rFonts w:eastAsia="ArialMT"/>
                <w:sz w:val="24"/>
                <w:szCs w:val="24"/>
                <w:lang w:val="ro-RO"/>
              </w:rPr>
              <w:t xml:space="preserve"> 300w, temperatur</w:t>
            </w:r>
            <w:r w:rsidR="001D5A6E">
              <w:rPr>
                <w:rFonts w:eastAsia="ArialMT"/>
                <w:sz w:val="24"/>
                <w:szCs w:val="24"/>
                <w:lang w:val="ro-RO"/>
              </w:rPr>
              <w:t>ă</w:t>
            </w:r>
            <w:r w:rsidR="001D5A6E" w:rsidRPr="00637B29">
              <w:rPr>
                <w:rFonts w:eastAsia="ArialMT"/>
                <w:sz w:val="24"/>
                <w:szCs w:val="24"/>
                <w:lang w:val="ro-RO"/>
              </w:rPr>
              <w:t xml:space="preserve"> de culoare </w:t>
            </w:r>
            <w:r w:rsidR="001D5A6E">
              <w:rPr>
                <w:rFonts w:eastAsia="ArialMT"/>
                <w:sz w:val="24"/>
                <w:szCs w:val="24"/>
                <w:lang w:val="ro-RO"/>
              </w:rPr>
              <w:t>2000-10000k</w:t>
            </w:r>
            <w:r w:rsidR="001D5A6E" w:rsidRPr="00637B29">
              <w:rPr>
                <w:rFonts w:eastAsia="ArialMT"/>
                <w:sz w:val="24"/>
                <w:szCs w:val="24"/>
                <w:lang w:val="ro-RO"/>
              </w:rPr>
              <w:t>, cu luminozitate de minim</w:t>
            </w:r>
            <w:r w:rsidR="001D5A6E">
              <w:rPr>
                <w:rFonts w:eastAsia="ArialMT"/>
                <w:sz w:val="24"/>
                <w:szCs w:val="24"/>
                <w:lang w:val="ro-RO"/>
              </w:rPr>
              <w:t>um</w:t>
            </w:r>
            <w:r w:rsidR="001D5A6E" w:rsidRPr="00637B29">
              <w:rPr>
                <w:rFonts w:eastAsia="ArialMT"/>
                <w:sz w:val="24"/>
                <w:szCs w:val="24"/>
                <w:lang w:val="ro-RO"/>
              </w:rPr>
              <w:t xml:space="preserve"> 4000lx, cu func</w:t>
            </w:r>
            <w:r w:rsidR="001D5A6E">
              <w:rPr>
                <w:rFonts w:eastAsia="ArialMT"/>
                <w:sz w:val="24"/>
                <w:szCs w:val="24"/>
                <w:lang w:val="ro-RO"/>
              </w:rPr>
              <w:t>ț</w:t>
            </w:r>
            <w:r w:rsidR="001D5A6E" w:rsidRPr="00637B29">
              <w:rPr>
                <w:rFonts w:eastAsia="ArialMT"/>
                <w:sz w:val="24"/>
                <w:szCs w:val="24"/>
                <w:lang w:val="ro-RO"/>
              </w:rPr>
              <w:t>ie dimmer</w:t>
            </w:r>
            <w:r w:rsidR="001D5A6E">
              <w:rPr>
                <w:rFonts w:eastAsia="ArialMT"/>
                <w:sz w:val="24"/>
                <w:szCs w:val="24"/>
                <w:lang w:val="ro-RO"/>
              </w:rPr>
              <w:t>, posibilitate de control wireless ș</w:t>
            </w:r>
            <w:r w:rsidR="001D5A6E" w:rsidRPr="00637B29">
              <w:rPr>
                <w:rFonts w:eastAsia="ArialMT"/>
                <w:sz w:val="24"/>
                <w:szCs w:val="24"/>
                <w:lang w:val="ro-RO"/>
              </w:rPr>
              <w:t>i prev</w:t>
            </w:r>
            <w:r w:rsidR="001D5A6E">
              <w:rPr>
                <w:rFonts w:eastAsia="ArialMT"/>
                <w:sz w:val="24"/>
                <w:szCs w:val="24"/>
                <w:lang w:val="ro-RO"/>
              </w:rPr>
              <w:t>ă</w:t>
            </w:r>
            <w:r w:rsidR="001D5A6E" w:rsidRPr="00637B29">
              <w:rPr>
                <w:rFonts w:eastAsia="ArialMT"/>
                <w:sz w:val="24"/>
                <w:szCs w:val="24"/>
                <w:lang w:val="ro-RO"/>
              </w:rPr>
              <w:t>zute cu voleuri</w:t>
            </w:r>
            <w:r w:rsidR="001D5A6E">
              <w:rPr>
                <w:rFonts w:eastAsia="ArialMT"/>
                <w:sz w:val="24"/>
                <w:szCs w:val="24"/>
                <w:lang w:val="ro-RO"/>
              </w:rPr>
              <w:t>.</w:t>
            </w:r>
          </w:p>
        </w:tc>
      </w:tr>
      <w:tr w:rsidR="001D5A6E" w:rsidRPr="004A7A51" w14:paraId="70BA9682" w14:textId="77777777" w:rsidTr="00F70491">
        <w:trPr>
          <w:trHeight w:val="1214"/>
        </w:trPr>
        <w:tc>
          <w:tcPr>
            <w:tcW w:w="461" w:type="dxa"/>
            <w:vAlign w:val="center"/>
          </w:tcPr>
          <w:p w14:paraId="1F40D734" w14:textId="77777777" w:rsidR="001D5A6E" w:rsidRPr="00683E26" w:rsidRDefault="001D5A6E" w:rsidP="00F70491">
            <w:pPr>
              <w:spacing w:line="276" w:lineRule="auto"/>
              <w:jc w:val="center"/>
              <w:rPr>
                <w:lang w:val="ro-RO"/>
              </w:rPr>
            </w:pPr>
            <w:r w:rsidRPr="00683E26">
              <w:rPr>
                <w:lang w:val="ro-RO"/>
              </w:rPr>
              <w:t>3</w:t>
            </w:r>
          </w:p>
        </w:tc>
        <w:tc>
          <w:tcPr>
            <w:tcW w:w="3470" w:type="dxa"/>
            <w:vAlign w:val="center"/>
          </w:tcPr>
          <w:p w14:paraId="158C97F2" w14:textId="77777777" w:rsidR="001D5A6E" w:rsidRPr="00683E26" w:rsidRDefault="001D5A6E" w:rsidP="00F70491">
            <w:pPr>
              <w:widowControl/>
              <w:autoSpaceDE/>
              <w:autoSpaceDN/>
              <w:contextualSpacing/>
              <w:rPr>
                <w:lang w:val="ro-RO"/>
              </w:rPr>
            </w:pPr>
            <w:r w:rsidRPr="006D1C19">
              <w:rPr>
                <w:lang w:val="ro-RO"/>
              </w:rPr>
              <w:t>ECHIPAMENTE MULTIMEDIA</w:t>
            </w:r>
          </w:p>
        </w:tc>
        <w:tc>
          <w:tcPr>
            <w:tcW w:w="5812" w:type="dxa"/>
            <w:vAlign w:val="center"/>
          </w:tcPr>
          <w:p w14:paraId="225B81C2" w14:textId="73DDA652"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6D1C19">
              <w:rPr>
                <w:rFonts w:eastAsia="ArialMT"/>
                <w:sz w:val="24"/>
                <w:szCs w:val="24"/>
                <w:lang w:val="ro-RO"/>
              </w:rPr>
              <w:t xml:space="preserve"> ecran</w:t>
            </w:r>
            <w:r w:rsidR="001D5A6E">
              <w:rPr>
                <w:rFonts w:eastAsia="ArialMT"/>
                <w:sz w:val="24"/>
                <w:szCs w:val="24"/>
                <w:lang w:val="ro-RO"/>
              </w:rPr>
              <w:t>e</w:t>
            </w:r>
            <w:r w:rsidR="001D5A6E" w:rsidRPr="006D1C19">
              <w:rPr>
                <w:rFonts w:eastAsia="ArialMT"/>
                <w:sz w:val="24"/>
                <w:szCs w:val="24"/>
                <w:lang w:val="ro-RO"/>
              </w:rPr>
              <w:t xml:space="preserve"> </w:t>
            </w:r>
            <w:r w:rsidR="001D5A6E">
              <w:rPr>
                <w:rFonts w:eastAsia="ArialMT"/>
                <w:sz w:val="24"/>
                <w:szCs w:val="24"/>
                <w:lang w:val="ro-RO"/>
              </w:rPr>
              <w:t>proiecție front</w:t>
            </w:r>
            <w:r w:rsidR="001D5A6E" w:rsidRPr="006D1C19">
              <w:rPr>
                <w:rFonts w:eastAsia="ArialMT"/>
                <w:sz w:val="24"/>
                <w:szCs w:val="24"/>
                <w:lang w:val="ro-RO"/>
              </w:rPr>
              <w:t xml:space="preserve">, dimensiune </w:t>
            </w:r>
            <w:r w:rsidR="001D5A6E">
              <w:rPr>
                <w:rFonts w:eastAsia="ArialMT"/>
                <w:sz w:val="24"/>
                <w:szCs w:val="24"/>
                <w:lang w:val="ro-RO"/>
              </w:rPr>
              <w:t>5080x3860mm</w:t>
            </w:r>
            <w:r w:rsidR="001D5A6E" w:rsidRPr="006D1C19">
              <w:rPr>
                <w:rFonts w:eastAsia="ArialMT"/>
                <w:sz w:val="24"/>
                <w:szCs w:val="24"/>
                <w:lang w:val="ro-RO"/>
              </w:rPr>
              <w:t xml:space="preserve">, </w:t>
            </w:r>
            <w:r w:rsidR="001D5A6E">
              <w:rPr>
                <w:rFonts w:eastAsia="ArialMT"/>
                <w:sz w:val="24"/>
                <w:szCs w:val="24"/>
                <w:lang w:val="ro-RO"/>
              </w:rPr>
              <w:t>format 16:9, cu cadru de aluminiu demontabil;</w:t>
            </w:r>
          </w:p>
          <w:p w14:paraId="2B8DB696"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7520x5690mm</w:t>
            </w:r>
            <w:r w:rsidRPr="006D1C19">
              <w:rPr>
                <w:rFonts w:eastAsia="ArialMT"/>
                <w:sz w:val="24"/>
                <w:szCs w:val="24"/>
                <w:lang w:val="ro-RO"/>
              </w:rPr>
              <w:t xml:space="preserve">, </w:t>
            </w:r>
            <w:r>
              <w:rPr>
                <w:rFonts w:eastAsia="ArialMT"/>
                <w:sz w:val="24"/>
                <w:szCs w:val="24"/>
                <w:lang w:val="ro-RO"/>
              </w:rPr>
              <w:t>format 16:9, cu cadru de aluminiu demontabil;</w:t>
            </w:r>
          </w:p>
          <w:p w14:paraId="76A25A6D" w14:textId="76B6C091"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videoproiectoare laser, luminozitate 6000 ansi, cu lentilă short 0,6:1, rezoluție 4k;</w:t>
            </w:r>
          </w:p>
          <w:p w14:paraId="76761F90"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 videoproiectoare laser, luminozitate 20000 ansi, cu lentilă long throw, rezoluție 4k;</w:t>
            </w:r>
          </w:p>
          <w:p w14:paraId="2CA5CE73" w14:textId="551E650B" w:rsidR="001D5A6E" w:rsidRDefault="00E87A61"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kit-uri de r</w:t>
            </w:r>
            <w:r w:rsidR="001D5A6E" w:rsidRPr="006D1C19">
              <w:rPr>
                <w:rFonts w:eastAsia="ArialMT"/>
                <w:sz w:val="24"/>
                <w:szCs w:val="24"/>
                <w:lang w:val="ro-RO"/>
              </w:rPr>
              <w:t>egie video prev</w:t>
            </w:r>
            <w:r w:rsidR="001D5A6E">
              <w:rPr>
                <w:rFonts w:eastAsia="ArialMT"/>
                <w:sz w:val="24"/>
                <w:szCs w:val="24"/>
                <w:lang w:val="ro-RO"/>
              </w:rPr>
              <w:t>ă</w:t>
            </w:r>
            <w:r w:rsidR="001D5A6E" w:rsidRPr="006D1C19">
              <w:rPr>
                <w:rFonts w:eastAsia="ArialMT"/>
                <w:sz w:val="24"/>
                <w:szCs w:val="24"/>
                <w:lang w:val="ro-RO"/>
              </w:rPr>
              <w:t>zut</w:t>
            </w:r>
            <w:r w:rsidR="001D5A6E">
              <w:rPr>
                <w:rFonts w:eastAsia="ArialMT"/>
                <w:sz w:val="24"/>
                <w:szCs w:val="24"/>
                <w:lang w:val="ro-RO"/>
              </w:rPr>
              <w:t>e</w:t>
            </w:r>
            <w:r w:rsidR="001D5A6E" w:rsidRPr="006D1C19">
              <w:rPr>
                <w:rFonts w:eastAsia="ArialMT"/>
                <w:sz w:val="24"/>
                <w:szCs w:val="24"/>
                <w:lang w:val="ro-RO"/>
              </w:rPr>
              <w:t xml:space="preserve"> cu media server, mixer video 4K cu minim</w:t>
            </w:r>
            <w:r w:rsidR="001D5A6E">
              <w:rPr>
                <w:rFonts w:eastAsia="ArialMT"/>
                <w:sz w:val="24"/>
                <w:szCs w:val="24"/>
                <w:lang w:val="ro-RO"/>
              </w:rPr>
              <w:t>um</w:t>
            </w:r>
            <w:r w:rsidR="001D5A6E" w:rsidRPr="006D1C19">
              <w:rPr>
                <w:rFonts w:eastAsia="ArialMT"/>
                <w:sz w:val="24"/>
                <w:szCs w:val="24"/>
                <w:lang w:val="ro-RO"/>
              </w:rPr>
              <w:t xml:space="preserve"> </w:t>
            </w:r>
            <w:r w:rsidR="001D5A6E">
              <w:rPr>
                <w:rFonts w:eastAsia="ArialMT"/>
                <w:sz w:val="24"/>
                <w:szCs w:val="24"/>
                <w:lang w:val="ro-RO"/>
              </w:rPr>
              <w:t>8</w:t>
            </w:r>
            <w:r w:rsidR="001D5A6E" w:rsidRPr="006D1C19">
              <w:rPr>
                <w:rFonts w:eastAsia="ArialMT"/>
                <w:sz w:val="24"/>
                <w:szCs w:val="24"/>
                <w:lang w:val="ro-RO"/>
              </w:rPr>
              <w:t xml:space="preserve"> intr</w:t>
            </w:r>
            <w:r w:rsidR="001D5A6E">
              <w:rPr>
                <w:rFonts w:eastAsia="ArialMT"/>
                <w:sz w:val="24"/>
                <w:szCs w:val="24"/>
                <w:lang w:val="ro-RO"/>
              </w:rPr>
              <w:t>ă</w:t>
            </w:r>
            <w:r w:rsidR="001D5A6E" w:rsidRPr="006D1C19">
              <w:rPr>
                <w:rFonts w:eastAsia="ArialMT"/>
                <w:sz w:val="24"/>
                <w:szCs w:val="24"/>
                <w:lang w:val="ro-RO"/>
              </w:rPr>
              <w:t>ri</w:t>
            </w:r>
            <w:r w:rsidR="001D5A6E">
              <w:rPr>
                <w:rFonts w:eastAsia="ArialMT"/>
                <w:sz w:val="24"/>
                <w:szCs w:val="24"/>
                <w:lang w:val="ro-RO"/>
              </w:rPr>
              <w:t xml:space="preserve"> SDI, HDMI și NDI și 4 ieșiri SDI/HDMI,</w:t>
            </w:r>
            <w:r w:rsidR="001D5A6E" w:rsidRPr="006D1C19">
              <w:rPr>
                <w:rFonts w:eastAsia="ArialMT"/>
                <w:sz w:val="24"/>
                <w:szCs w:val="24"/>
                <w:lang w:val="ro-RO"/>
              </w:rPr>
              <w:t xml:space="preserve"> talkback, HDD player recorder 4K, mixer audio digital minim</w:t>
            </w:r>
            <w:r w:rsidR="001D5A6E">
              <w:rPr>
                <w:rFonts w:eastAsia="ArialMT"/>
                <w:sz w:val="24"/>
                <w:szCs w:val="24"/>
                <w:lang w:val="ro-RO"/>
              </w:rPr>
              <w:t>um</w:t>
            </w:r>
            <w:r w:rsidR="001D5A6E" w:rsidRPr="006D1C19">
              <w:rPr>
                <w:rFonts w:eastAsia="ArialMT"/>
                <w:sz w:val="24"/>
                <w:szCs w:val="24"/>
                <w:lang w:val="ro-RO"/>
              </w:rPr>
              <w:t xml:space="preserve"> 6 intr</w:t>
            </w:r>
            <w:r w:rsidR="001D5A6E">
              <w:rPr>
                <w:rFonts w:eastAsia="ArialMT"/>
                <w:sz w:val="24"/>
                <w:szCs w:val="24"/>
                <w:lang w:val="ro-RO"/>
              </w:rPr>
              <w:t>ă</w:t>
            </w:r>
            <w:r w:rsidR="001D5A6E" w:rsidRPr="006D1C19">
              <w:rPr>
                <w:rFonts w:eastAsia="ArialMT"/>
                <w:sz w:val="24"/>
                <w:szCs w:val="24"/>
                <w:lang w:val="ro-RO"/>
              </w:rPr>
              <w:t xml:space="preserve">ri, convertoare SDI-HDMI, </w:t>
            </w:r>
            <w:r w:rsidR="001D5A6E">
              <w:rPr>
                <w:rFonts w:eastAsia="ArialMT"/>
                <w:sz w:val="24"/>
                <w:szCs w:val="24"/>
                <w:lang w:val="ro-RO"/>
              </w:rPr>
              <w:t xml:space="preserve">splitere SDI/HDMI, </w:t>
            </w:r>
            <w:r w:rsidR="001D5A6E" w:rsidRPr="006D1C19">
              <w:rPr>
                <w:rFonts w:eastAsia="ArialMT"/>
                <w:sz w:val="24"/>
                <w:szCs w:val="24"/>
                <w:lang w:val="ro-RO"/>
              </w:rPr>
              <w:t>sistem de streaming live</w:t>
            </w:r>
            <w:r w:rsidR="001D5A6E">
              <w:rPr>
                <w:rFonts w:eastAsia="ArialMT"/>
                <w:sz w:val="24"/>
                <w:szCs w:val="24"/>
                <w:lang w:val="ro-RO"/>
              </w:rPr>
              <w:t>;</w:t>
            </w:r>
          </w:p>
          <w:p w14:paraId="6FEDE46C" w14:textId="7E223A85" w:rsidR="001D5A6E" w:rsidRPr="001E5EC7"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4</w:t>
            </w:r>
            <w:r w:rsidR="001D5A6E">
              <w:rPr>
                <w:rFonts w:eastAsia="ArialMT"/>
                <w:sz w:val="24"/>
                <w:szCs w:val="24"/>
                <w:lang w:val="ro-RO"/>
              </w:rPr>
              <w:t xml:space="preserve"> camere video rezoluție 4K motorizate prevăzute cu controller la regia tehnică și ieșiri HDMI, SDI și NDI; </w:t>
            </w:r>
          </w:p>
          <w:p w14:paraId="1460EA7D" w14:textId="4E4CC13C" w:rsidR="001D5A6E" w:rsidRPr="00F72AB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sisteme de travelling motorizat cu lungime de 3m, cu posibilitate de control și funcție AUTO TIME, AUTO SPEED; </w:t>
            </w:r>
          </w:p>
          <w:p w14:paraId="4487F1F6" w14:textId="35915E3C" w:rsidR="001D5A6E" w:rsidRPr="001E5EC7" w:rsidRDefault="0069310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w:t>
            </w:r>
            <w:r w:rsidR="001D5A6E">
              <w:rPr>
                <w:rFonts w:eastAsia="ArialMT"/>
                <w:sz w:val="24"/>
                <w:szCs w:val="24"/>
                <w:lang w:val="ro-RO"/>
              </w:rPr>
              <w:t xml:space="preserve"> ecrane plasmă/LCD, diagonală minimă 42”, cu suport, dispuse vertical (portrait), cu posibilitate de rotire a imaginii, cu conexiune USB pe care vor rula titlurile și programele conferințelor; </w:t>
            </w:r>
          </w:p>
          <w:p w14:paraId="2E5A4D0D" w14:textId="53714661" w:rsidR="001D5A6E" w:rsidRPr="00DF2748"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multimedia speaker desk prevăzute cu ecran LCD frontal pe care vor rula numele speakerilor și ecran orizontal cu funcție prompter pe care vor rula textele speakerilor. De asemenea, desk-urile vor fi prevăzute cu suport pahar; </w:t>
            </w:r>
          </w:p>
          <w:p w14:paraId="594AA7AA" w14:textId="58E64FB3" w:rsidR="001D5A6E" w:rsidRPr="001E5EC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rPr>
              <w:t>5</w:t>
            </w:r>
            <w:r w:rsidR="001D5A6E">
              <w:rPr>
                <w:rFonts w:eastAsia="ArialMT"/>
                <w:sz w:val="24"/>
                <w:szCs w:val="24"/>
                <w:lang w:val="ro-RO"/>
              </w:rPr>
              <w:t xml:space="preserve"> monitoare preview cu stativ de podea pe care vor rula prezentările și un timer;</w:t>
            </w:r>
          </w:p>
          <w:p w14:paraId="7C15F08F" w14:textId="59360E04" w:rsidR="001D5A6E" w:rsidRPr="00E87A61" w:rsidRDefault="00E87A61" w:rsidP="00E87A6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it-IT"/>
              </w:rPr>
              <w:t>5</w:t>
            </w:r>
            <w:r w:rsidR="001D5A6E" w:rsidRPr="001E5EC7">
              <w:rPr>
                <w:rFonts w:eastAsia="ArialMT"/>
                <w:sz w:val="24"/>
                <w:szCs w:val="24"/>
                <w:lang w:val="it-IT"/>
              </w:rPr>
              <w:t xml:space="preserve"> laptopuri cu software PowerPoint/Keynote, Javascript, Adobe Photoshop;</w:t>
            </w:r>
          </w:p>
        </w:tc>
      </w:tr>
      <w:tr w:rsidR="001D5A6E" w:rsidRPr="00683E26" w14:paraId="2338697B" w14:textId="77777777" w:rsidTr="00F70491">
        <w:trPr>
          <w:trHeight w:val="1214"/>
        </w:trPr>
        <w:tc>
          <w:tcPr>
            <w:tcW w:w="461" w:type="dxa"/>
            <w:vAlign w:val="center"/>
          </w:tcPr>
          <w:p w14:paraId="412CDD1B" w14:textId="77777777" w:rsidR="001D5A6E" w:rsidRPr="00683E26" w:rsidRDefault="001D5A6E" w:rsidP="00F70491">
            <w:pPr>
              <w:spacing w:line="276" w:lineRule="auto"/>
              <w:jc w:val="center"/>
              <w:rPr>
                <w:lang w:val="ro-RO"/>
              </w:rPr>
            </w:pPr>
            <w:r w:rsidRPr="00683E26">
              <w:rPr>
                <w:lang w:val="ro-RO"/>
              </w:rPr>
              <w:t>4</w:t>
            </w:r>
          </w:p>
        </w:tc>
        <w:tc>
          <w:tcPr>
            <w:tcW w:w="3470" w:type="dxa"/>
            <w:vAlign w:val="center"/>
          </w:tcPr>
          <w:p w14:paraId="712B3397" w14:textId="77777777" w:rsidR="001D5A6E" w:rsidRPr="00683E26" w:rsidRDefault="001D5A6E"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21671F71" w14:textId="77777777" w:rsidR="001D5A6E" w:rsidRPr="006D1C19"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0C2E07FF"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CF58239"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191B493"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DC94C82"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E8900A7" w14:textId="77777777" w:rsidR="001D5A6E"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38EACFF3" w14:textId="77777777" w:rsidR="001D5A6E" w:rsidRPr="0001610E"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1D5A6E" w:rsidRPr="00683E26" w14:paraId="25C18309" w14:textId="77777777" w:rsidTr="00F70491">
        <w:trPr>
          <w:trHeight w:val="1214"/>
        </w:trPr>
        <w:tc>
          <w:tcPr>
            <w:tcW w:w="461" w:type="dxa"/>
            <w:vAlign w:val="center"/>
          </w:tcPr>
          <w:p w14:paraId="4633631C" w14:textId="77777777" w:rsidR="001D5A6E" w:rsidRPr="00683E26" w:rsidRDefault="001D5A6E" w:rsidP="00F70491">
            <w:pPr>
              <w:spacing w:line="276" w:lineRule="auto"/>
              <w:jc w:val="center"/>
              <w:rPr>
                <w:lang w:val="ro-RO"/>
              </w:rPr>
            </w:pPr>
            <w:r w:rsidRPr="00683E26">
              <w:rPr>
                <w:lang w:val="ro-RO"/>
              </w:rPr>
              <w:lastRenderedPageBreak/>
              <w:t xml:space="preserve">5 </w:t>
            </w:r>
          </w:p>
        </w:tc>
        <w:tc>
          <w:tcPr>
            <w:tcW w:w="3470" w:type="dxa"/>
            <w:vAlign w:val="center"/>
          </w:tcPr>
          <w:p w14:paraId="3C6DF154" w14:textId="77777777" w:rsidR="001D5A6E" w:rsidRPr="00683E26" w:rsidRDefault="001D5A6E" w:rsidP="00F70491">
            <w:pPr>
              <w:widowControl/>
              <w:autoSpaceDE/>
              <w:autoSpaceDN/>
              <w:contextualSpacing/>
              <w:rPr>
                <w:lang w:val="ro-RO"/>
              </w:rPr>
            </w:pPr>
            <w:r w:rsidRPr="00637150">
              <w:rPr>
                <w:lang w:val="ro-RO"/>
              </w:rPr>
              <w:t>ACCESORII</w:t>
            </w:r>
          </w:p>
        </w:tc>
        <w:tc>
          <w:tcPr>
            <w:tcW w:w="5812" w:type="dxa"/>
            <w:vAlign w:val="center"/>
          </w:tcPr>
          <w:p w14:paraId="60CFFA4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 xml:space="preserve">Sisteme de protecție pentru cabluri electrice și de sunet pentru a evita accidentările, ținând cont de fluxul mare de persoane pe perioada evenimentelor. Necesar minimum </w:t>
            </w:r>
            <w:r>
              <w:rPr>
                <w:sz w:val="24"/>
                <w:szCs w:val="24"/>
                <w:lang w:val="ro-RO"/>
              </w:rPr>
              <w:t>6 seturi de 3</w:t>
            </w:r>
            <w:r w:rsidRPr="00483DAF">
              <w:rPr>
                <w:sz w:val="24"/>
                <w:szCs w:val="24"/>
                <w:lang w:val="ro-RO"/>
              </w:rPr>
              <w:t>0m.</w:t>
            </w:r>
          </w:p>
        </w:tc>
      </w:tr>
      <w:tr w:rsidR="001D5A6E" w:rsidRPr="00683E26" w14:paraId="446C348C" w14:textId="77777777" w:rsidTr="00F70491">
        <w:trPr>
          <w:trHeight w:val="1214"/>
        </w:trPr>
        <w:tc>
          <w:tcPr>
            <w:tcW w:w="461" w:type="dxa"/>
            <w:vAlign w:val="center"/>
          </w:tcPr>
          <w:p w14:paraId="0BCCB2CF" w14:textId="77777777" w:rsidR="001D5A6E" w:rsidRPr="00683E26" w:rsidRDefault="001D5A6E" w:rsidP="00F70491">
            <w:pPr>
              <w:spacing w:line="276" w:lineRule="auto"/>
              <w:jc w:val="center"/>
              <w:rPr>
                <w:lang w:val="ro-RO"/>
              </w:rPr>
            </w:pPr>
            <w:r>
              <w:rPr>
                <w:lang w:val="ro-RO"/>
              </w:rPr>
              <w:t>6</w:t>
            </w:r>
          </w:p>
        </w:tc>
        <w:tc>
          <w:tcPr>
            <w:tcW w:w="3470" w:type="dxa"/>
            <w:vAlign w:val="center"/>
          </w:tcPr>
          <w:p w14:paraId="46F46E10" w14:textId="77777777" w:rsidR="001D5A6E" w:rsidRPr="00683E26" w:rsidRDefault="001D5A6E"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A2F44DD"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0BF0EFCE" w14:textId="446BDEE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tehnici</w:t>
            </w:r>
            <w:r w:rsidR="00E87A61">
              <w:rPr>
                <w:rFonts w:eastAsia="ArialMT"/>
                <w:sz w:val="24"/>
                <w:szCs w:val="24"/>
                <w:lang w:val="ro-RO"/>
              </w:rPr>
              <w:t>an</w:t>
            </w:r>
            <w:r w:rsidR="001D5A6E" w:rsidRPr="00A60A2D">
              <w:rPr>
                <w:rFonts w:eastAsia="ArialMT"/>
                <w:sz w:val="24"/>
                <w:szCs w:val="24"/>
                <w:lang w:val="ro-RO"/>
              </w:rPr>
              <w:t xml:space="preserve"> de sunet</w:t>
            </w:r>
            <w:r w:rsidR="001D5A6E">
              <w:rPr>
                <w:rFonts w:eastAsia="ArialMT"/>
                <w:sz w:val="24"/>
                <w:szCs w:val="24"/>
                <w:lang w:val="ro-RO"/>
              </w:rPr>
              <w:t>;</w:t>
            </w:r>
          </w:p>
          <w:p w14:paraId="352C5906"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tehnicieni de lumini</w:t>
            </w:r>
            <w:r>
              <w:rPr>
                <w:rFonts w:eastAsia="ArialMT"/>
                <w:sz w:val="24"/>
                <w:szCs w:val="24"/>
                <w:lang w:val="ro-RO"/>
              </w:rPr>
              <w:t>;</w:t>
            </w:r>
          </w:p>
          <w:p w14:paraId="016014F3" w14:textId="50D2221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electricieni</w:t>
            </w:r>
            <w:r w:rsidR="001D5A6E">
              <w:rPr>
                <w:rFonts w:eastAsia="ArialMT"/>
                <w:sz w:val="24"/>
                <w:szCs w:val="24"/>
                <w:lang w:val="ro-RO"/>
              </w:rPr>
              <w:t>;</w:t>
            </w:r>
          </w:p>
          <w:p w14:paraId="5E10529E" w14:textId="4107A37B"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operatori video</w:t>
            </w:r>
            <w:r w:rsidR="001D5A6E">
              <w:rPr>
                <w:rFonts w:eastAsia="ArialMT"/>
                <w:sz w:val="24"/>
                <w:szCs w:val="24"/>
                <w:lang w:val="ro-RO"/>
              </w:rPr>
              <w:t>;</w:t>
            </w:r>
          </w:p>
          <w:p w14:paraId="333E54E9" w14:textId="18020726"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tehnicieni video</w:t>
            </w:r>
            <w:r w:rsidR="001D5A6E">
              <w:rPr>
                <w:rFonts w:eastAsia="ArialMT"/>
                <w:sz w:val="24"/>
                <w:szCs w:val="24"/>
                <w:lang w:val="ro-RO"/>
              </w:rPr>
              <w:t>;</w:t>
            </w:r>
          </w:p>
          <w:p w14:paraId="7E716F9F" w14:textId="4DB6E01B"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A60A2D">
              <w:rPr>
                <w:rFonts w:eastAsia="ArialMT"/>
                <w:sz w:val="24"/>
                <w:szCs w:val="24"/>
                <w:lang w:val="ro-RO"/>
              </w:rPr>
              <w:t xml:space="preserve"> manipulan</w:t>
            </w:r>
            <w:r w:rsidR="001D5A6E">
              <w:rPr>
                <w:rFonts w:eastAsia="ArialMT"/>
                <w:sz w:val="24"/>
                <w:szCs w:val="24"/>
                <w:lang w:val="ro-RO"/>
              </w:rPr>
              <w:t>ț</w:t>
            </w:r>
            <w:r w:rsidR="001D5A6E" w:rsidRPr="00A60A2D">
              <w:rPr>
                <w:rFonts w:eastAsia="ArialMT"/>
                <w:sz w:val="24"/>
                <w:szCs w:val="24"/>
                <w:lang w:val="ro-RO"/>
              </w:rPr>
              <w:t>i</w:t>
            </w:r>
            <w:r w:rsidR="001D5A6E">
              <w:rPr>
                <w:rFonts w:eastAsia="ArialMT"/>
                <w:sz w:val="24"/>
                <w:szCs w:val="24"/>
                <w:lang w:val="ro-RO"/>
              </w:rPr>
              <w:t>;</w:t>
            </w:r>
          </w:p>
          <w:p w14:paraId="60D41D12"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0628C61D" w14:textId="77777777" w:rsidR="001D5A6E" w:rsidRPr="00D85BBE" w:rsidRDefault="001D5A6E" w:rsidP="001D5A6E">
      <w:pPr>
        <w:pStyle w:val="BodyText"/>
        <w:spacing w:line="276" w:lineRule="auto"/>
        <w:jc w:val="both"/>
        <w:rPr>
          <w:color w:val="000000" w:themeColor="text1"/>
          <w:sz w:val="24"/>
          <w:szCs w:val="24"/>
        </w:rPr>
      </w:pPr>
    </w:p>
    <w:p w14:paraId="6545058C"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BodyText"/>
        <w:spacing w:line="276" w:lineRule="auto"/>
        <w:jc w:val="both"/>
        <w:rPr>
          <w:color w:val="000000" w:themeColor="text1"/>
          <w:sz w:val="24"/>
          <w:szCs w:val="24"/>
          <w:lang w:val="ro-RO"/>
        </w:rPr>
      </w:pPr>
    </w:p>
    <w:bookmarkStart w:id="5" w:name="Cap2_3"/>
    <w:p w14:paraId="3329C364"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BodyText"/>
        <w:spacing w:line="276" w:lineRule="auto"/>
        <w:jc w:val="both"/>
        <w:rPr>
          <w:b/>
          <w:bCs/>
          <w:color w:val="000000" w:themeColor="text1"/>
          <w:sz w:val="24"/>
          <w:szCs w:val="24"/>
          <w:lang w:val="ro-RO"/>
        </w:rPr>
      </w:pPr>
    </w:p>
    <w:bookmarkEnd w:id="5"/>
    <w:p w14:paraId="14DD2EFA"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14BC554" w14:textId="77777777" w:rsidR="001D5A6E" w:rsidRPr="00683E26" w:rsidRDefault="001D5A6E" w:rsidP="001D5A6E">
      <w:pPr>
        <w:pStyle w:val="BodyText"/>
        <w:spacing w:line="276" w:lineRule="auto"/>
        <w:jc w:val="both"/>
        <w:rPr>
          <w:color w:val="000000" w:themeColor="text1"/>
          <w:sz w:val="24"/>
          <w:szCs w:val="24"/>
          <w:lang w:val="ro-RO"/>
        </w:rPr>
      </w:pPr>
    </w:p>
    <w:bookmarkStart w:id="6" w:name="Cap3"/>
    <w:p w14:paraId="12DDF119"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BodyText"/>
        <w:spacing w:line="276" w:lineRule="auto"/>
        <w:jc w:val="both"/>
        <w:rPr>
          <w:color w:val="000000" w:themeColor="text1"/>
          <w:sz w:val="24"/>
          <w:szCs w:val="24"/>
          <w:lang w:val="ro-RO"/>
        </w:rPr>
      </w:pPr>
    </w:p>
    <w:bookmarkEnd w:id="6"/>
    <w:p w14:paraId="5D590A0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în ceea ce privește descrierea tehnică a serviciilor, ofertanții vor trebui </w:t>
      </w:r>
      <w:r w:rsidRPr="00683E26">
        <w:rPr>
          <w:color w:val="000000" w:themeColor="text1"/>
          <w:sz w:val="24"/>
          <w:szCs w:val="24"/>
          <w:lang w:val="ro-RO"/>
        </w:rPr>
        <w:lastRenderedPageBreak/>
        <w:t>să demonstreze corespondența strictă a acestora cu specificațiile tehnice solicitate de autoritatea contractantă.</w:t>
      </w:r>
    </w:p>
    <w:p w14:paraId="060D538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BodyText"/>
        <w:spacing w:line="276" w:lineRule="auto"/>
        <w:ind w:firstLine="720"/>
        <w:jc w:val="both"/>
        <w:rPr>
          <w:color w:val="000000" w:themeColor="text1"/>
          <w:sz w:val="24"/>
          <w:szCs w:val="24"/>
          <w:lang w:val="ro-RO"/>
        </w:rPr>
      </w:pPr>
    </w:p>
    <w:bookmarkStart w:id="7" w:name="Cap4"/>
    <w:p w14:paraId="08C7CA9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BodyText"/>
        <w:spacing w:line="276" w:lineRule="auto"/>
        <w:jc w:val="both"/>
        <w:rPr>
          <w:b/>
          <w:bCs/>
          <w:color w:val="000000" w:themeColor="text1"/>
          <w:sz w:val="24"/>
          <w:szCs w:val="24"/>
          <w:lang w:val="ro-RO"/>
        </w:rPr>
      </w:pPr>
    </w:p>
    <w:bookmarkEnd w:id="7"/>
    <w:p w14:paraId="262BB2F2"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BodyText"/>
        <w:spacing w:line="276" w:lineRule="auto"/>
        <w:ind w:firstLine="720"/>
        <w:jc w:val="both"/>
        <w:rPr>
          <w:color w:val="000000" w:themeColor="text1"/>
          <w:sz w:val="24"/>
          <w:szCs w:val="24"/>
          <w:lang w:val="ro-RO"/>
        </w:rPr>
      </w:pPr>
    </w:p>
    <w:p w14:paraId="3D73B901" w14:textId="77777777" w:rsidR="001D5A6E" w:rsidRDefault="001D5A6E" w:rsidP="001D5A6E">
      <w:pPr>
        <w:pStyle w:val="Body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20D5837E" w:rsidR="001D5A6E" w:rsidRPr="00683E26" w:rsidRDefault="00E45B8C" w:rsidP="001D5A6E">
      <w:pPr>
        <w:pStyle w:val="BodyText"/>
        <w:spacing w:line="276" w:lineRule="auto"/>
        <w:jc w:val="both"/>
        <w:rPr>
          <w:color w:val="000000" w:themeColor="text1"/>
          <w:sz w:val="24"/>
          <w:szCs w:val="24"/>
          <w:lang w:val="ro-RO"/>
        </w:rPr>
      </w:pPr>
      <w:r>
        <w:rPr>
          <w:b/>
          <w:color w:val="000000" w:themeColor="text1"/>
          <w:sz w:val="24"/>
          <w:szCs w:val="24"/>
          <w:lang w:val="ro-RO"/>
        </w:rPr>
        <w:t>Cornel CHIRA</w:t>
      </w:r>
    </w:p>
    <w:p w14:paraId="49690EDD" w14:textId="77777777" w:rsidR="001D5A6E" w:rsidRPr="00683E26" w:rsidRDefault="001D5A6E" w:rsidP="001D5A6E">
      <w:pPr>
        <w:pStyle w:val="Body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957"/>
    <w:rsid w:val="001B5C1B"/>
    <w:rsid w:val="001B7C83"/>
    <w:rsid w:val="001C0032"/>
    <w:rsid w:val="001C2A94"/>
    <w:rsid w:val="001C364F"/>
    <w:rsid w:val="001C3698"/>
    <w:rsid w:val="001C62F0"/>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2774"/>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896"/>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A7F73"/>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3F17"/>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677C"/>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10D"/>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B7F78"/>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3382"/>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8E"/>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5A5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D69B2"/>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2B86"/>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22AA"/>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77B36"/>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Ştefan MOISESCU (66307)</cp:lastModifiedBy>
  <cp:revision>22</cp:revision>
  <cp:lastPrinted>2024-04-08T09:04:00Z</cp:lastPrinted>
  <dcterms:created xsi:type="dcterms:W3CDTF">2025-04-30T09:22:00Z</dcterms:created>
  <dcterms:modified xsi:type="dcterms:W3CDTF">2025-11-06T06:51:00Z</dcterms:modified>
</cp:coreProperties>
</file>