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3E988237" w14:textId="76B87B78" w:rsidR="001D5A6E" w:rsidRPr="00683E26" w:rsidRDefault="00B56DE6" w:rsidP="001D5A6E">
      <w:pPr>
        <w:pStyle w:val="BodyText"/>
        <w:spacing w:line="276" w:lineRule="auto"/>
        <w:jc w:val="center"/>
        <w:rPr>
          <w:color w:val="000000" w:themeColor="text1"/>
          <w:sz w:val="24"/>
          <w:szCs w:val="24"/>
          <w:lang w:val="ro-RO"/>
        </w:rPr>
      </w:pPr>
      <w:r>
        <w:rPr>
          <w:b/>
          <w:bCs/>
          <w:iCs/>
          <w:color w:val="000000" w:themeColor="text1"/>
          <w:sz w:val="28"/>
          <w:szCs w:val="28"/>
          <w:lang w:val="ro-RO"/>
        </w:rPr>
        <w:t>Invatare si Dezvoltare pentru Cadre Didactice</w:t>
      </w:r>
    </w:p>
    <w:p w14:paraId="7BC85809" w14:textId="77777777" w:rsidR="001D5A6E" w:rsidRPr="00683E26" w:rsidRDefault="001D5A6E" w:rsidP="001D5A6E">
      <w:pPr>
        <w:pStyle w:val="BodyText"/>
        <w:spacing w:line="276" w:lineRule="auto"/>
        <w:jc w:val="center"/>
        <w:rPr>
          <w:color w:val="000000" w:themeColor="text1"/>
          <w:sz w:val="24"/>
          <w:szCs w:val="24"/>
          <w:lang w:val="ro-RO"/>
        </w:rPr>
      </w:pPr>
    </w:p>
    <w:p w14:paraId="4FE64C3A" w14:textId="77777777" w:rsidR="001D5A6E" w:rsidRPr="00683E26" w:rsidRDefault="001D5A6E" w:rsidP="001D5A6E">
      <w:pPr>
        <w:pStyle w:val="BodyText"/>
        <w:spacing w:line="276" w:lineRule="auto"/>
        <w:jc w:val="center"/>
        <w:rPr>
          <w:color w:val="000000" w:themeColor="text1"/>
          <w:sz w:val="24"/>
          <w:szCs w:val="24"/>
          <w:lang w:val="ro-RO"/>
        </w:rPr>
      </w:pPr>
    </w:p>
    <w:p w14:paraId="510729C2" w14:textId="77777777" w:rsidR="001D5A6E" w:rsidRPr="00683E26" w:rsidRDefault="001D5A6E" w:rsidP="001D5A6E">
      <w:pPr>
        <w:pStyle w:val="BodyText"/>
        <w:spacing w:line="276" w:lineRule="auto"/>
        <w:jc w:val="center"/>
        <w:rPr>
          <w:color w:val="000000" w:themeColor="text1"/>
          <w:sz w:val="24"/>
          <w:szCs w:val="24"/>
          <w:lang w:val="ro-RO"/>
        </w:rPr>
      </w:pP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77296239" w14:textId="38D83EC1" w:rsidR="00F71804" w:rsidRDefault="00F71804" w:rsidP="00F71804">
      <w:pPr>
        <w:pStyle w:val="BodyText"/>
        <w:spacing w:line="276" w:lineRule="auto"/>
        <w:ind w:firstLine="720"/>
        <w:jc w:val="both"/>
        <w:rPr>
          <w:color w:val="000000" w:themeColor="text1"/>
          <w:sz w:val="24"/>
          <w:szCs w:val="24"/>
          <w:lang w:val="ro-RO"/>
        </w:rPr>
      </w:pPr>
      <w:r w:rsidRPr="00A22D4C">
        <w:rPr>
          <w:color w:val="000000" w:themeColor="text1"/>
          <w:sz w:val="24"/>
          <w:szCs w:val="24"/>
          <w:lang w:val="ro-RO"/>
        </w:rPr>
        <w:t>În acest context general, achiziția privind serviciile</w:t>
      </w:r>
      <w:r>
        <w:rPr>
          <w:color w:val="000000" w:themeColor="text1"/>
          <w:sz w:val="24"/>
          <w:szCs w:val="24"/>
          <w:lang w:val="ro-RO"/>
        </w:rPr>
        <w:t xml:space="preserve"> de organizare a 10 conferințe în sistem fizic și 4 conferințe în sistem online</w:t>
      </w:r>
      <w:r w:rsidRPr="00A22D4C">
        <w:rPr>
          <w:color w:val="000000" w:themeColor="text1"/>
          <w:sz w:val="24"/>
          <w:szCs w:val="24"/>
          <w:lang w:val="ro-RO"/>
        </w:rPr>
        <w:t xml:space="preserve"> </w:t>
      </w:r>
      <w:r>
        <w:rPr>
          <w:color w:val="000000" w:themeColor="text1"/>
          <w:sz w:val="24"/>
          <w:szCs w:val="24"/>
          <w:lang w:val="ro-RO"/>
        </w:rPr>
        <w:t>este necesară</w:t>
      </w:r>
      <w:r w:rsidRPr="00A22D4C">
        <w:rPr>
          <w:color w:val="000000" w:themeColor="text1"/>
          <w:sz w:val="24"/>
          <w:szCs w:val="24"/>
          <w:lang w:val="ro-RO"/>
        </w:rPr>
        <w:t xml:space="preserve"> pentru buna desfășurare a proiec</w:t>
      </w:r>
      <w:r>
        <w:rPr>
          <w:color w:val="000000" w:themeColor="text1"/>
          <w:sz w:val="24"/>
          <w:szCs w:val="24"/>
          <w:lang w:val="ro-RO"/>
        </w:rPr>
        <w:t>tului</w:t>
      </w:r>
      <w:r w:rsidRPr="00A22D4C">
        <w:rPr>
          <w:color w:val="000000" w:themeColor="text1"/>
          <w:sz w:val="24"/>
          <w:szCs w:val="24"/>
          <w:lang w:val="ro-RO"/>
        </w:rPr>
        <w:t xml:space="preserve"> </w:t>
      </w:r>
      <w:r w:rsidRPr="00F71804">
        <w:rPr>
          <w:b/>
          <w:bCs/>
          <w:i/>
          <w:iCs/>
          <w:sz w:val="24"/>
          <w:szCs w:val="24"/>
          <w:lang w:val="ro-RO"/>
        </w:rPr>
        <w:t>Invatare si Dezvoltare pentru Cadre Didactice</w:t>
      </w:r>
      <w:r>
        <w:rPr>
          <w:color w:val="000000" w:themeColor="text1"/>
          <w:sz w:val="24"/>
          <w:szCs w:val="24"/>
          <w:lang w:val="ro-RO"/>
        </w:rPr>
        <w:t>.</w:t>
      </w:r>
    </w:p>
    <w:p w14:paraId="09AA2A4F" w14:textId="6DEE9418" w:rsidR="00F71804" w:rsidRPr="00591F38" w:rsidRDefault="00F71804" w:rsidP="00F71804">
      <w:pPr>
        <w:pStyle w:val="BodyText"/>
        <w:spacing w:line="276" w:lineRule="auto"/>
        <w:ind w:firstLine="720"/>
        <w:jc w:val="both"/>
        <w:rPr>
          <w:color w:val="000000" w:themeColor="text1"/>
          <w:sz w:val="24"/>
          <w:szCs w:val="24"/>
          <w:lang w:val="ro-RO"/>
        </w:rPr>
      </w:pPr>
      <w:r>
        <w:rPr>
          <w:color w:val="000000" w:themeColor="text1"/>
          <w:sz w:val="24"/>
          <w:szCs w:val="24"/>
          <w:lang w:val="ro-RO"/>
        </w:rPr>
        <w:t xml:space="preserve">Proiectul </w:t>
      </w:r>
      <w:r w:rsidRPr="00F71804">
        <w:rPr>
          <w:b/>
          <w:bCs/>
          <w:i/>
          <w:iCs/>
          <w:sz w:val="24"/>
          <w:szCs w:val="24"/>
          <w:lang w:val="ro-RO"/>
        </w:rPr>
        <w:t>Invatare si Dezvoltare pentru Cadre Didactice</w:t>
      </w:r>
      <w:r w:rsidRPr="00591F38">
        <w:rPr>
          <w:color w:val="000000" w:themeColor="text1"/>
          <w:sz w:val="24"/>
          <w:szCs w:val="24"/>
          <w:lang w:val="ro-RO"/>
        </w:rPr>
        <w:t xml:space="preserve"> vine în sprijinul atingerii </w:t>
      </w:r>
      <w:r>
        <w:rPr>
          <w:color w:val="000000" w:themeColor="text1"/>
          <w:sz w:val="24"/>
          <w:szCs w:val="24"/>
          <w:lang w:val="ro-RO"/>
        </w:rPr>
        <w:t>punctului 2 ” Un spațiu european al educației ambițios” din Comunicarea Comisiei către Parlamentul European, Consiliu, Comitetul Economic și Social European și Comitetul Regiunilor privind realizarea Spațiului European al Educației până în  2025,  subpunctul 2.4. ”Profesori și formatori”, unde aceștia sunt în centrul educației, cât și cu Strategia de dezvoltare a României în următorii 20 ani (2016-2035), vol.II, Proiect 1. Școala și educația în viziunea Academiei Române, programul 4 ”Bunăstare și stimă de sine”, programul 5 ”Excelență în predare” și programul 6 ”Școala și univeristatea deschise”</w:t>
      </w:r>
      <w:r w:rsidRPr="00591F38">
        <w:rPr>
          <w:color w:val="000000" w:themeColor="text1"/>
          <w:sz w:val="24"/>
          <w:szCs w:val="24"/>
          <w:lang w:val="ro-RO"/>
        </w:rPr>
        <w:t xml:space="preserve">. Prin participarea la </w:t>
      </w:r>
      <w:r>
        <w:rPr>
          <w:color w:val="000000" w:themeColor="text1"/>
          <w:sz w:val="24"/>
          <w:szCs w:val="24"/>
          <w:lang w:val="ro-RO"/>
        </w:rPr>
        <w:t xml:space="preserve"> programul de pregătire/formare/dezvoltare/aprofundare/ fiecare participant</w:t>
      </w:r>
      <w:r w:rsidRPr="00591F38">
        <w:rPr>
          <w:color w:val="000000" w:themeColor="text1"/>
          <w:sz w:val="24"/>
          <w:szCs w:val="24"/>
          <w:lang w:val="ro-RO"/>
        </w:rPr>
        <w:t xml:space="preserve"> </w:t>
      </w:r>
      <w:r>
        <w:rPr>
          <w:color w:val="000000" w:themeColor="text1"/>
          <w:sz w:val="24"/>
          <w:szCs w:val="24"/>
          <w:lang w:val="ro-RO"/>
        </w:rPr>
        <w:t>va beneficia de dezvoltarea competențelor transversale și de pregătirea necesară pentru a deveni promotori ai beneficiilor accederii la sistemul de învățământ tehnic.</w:t>
      </w:r>
    </w:p>
    <w:p w14:paraId="6025C714" w14:textId="77777777" w:rsidR="00F71804" w:rsidRDefault="00F71804" w:rsidP="00F71804">
      <w:pPr>
        <w:pStyle w:val="BodyText"/>
        <w:spacing w:line="276" w:lineRule="auto"/>
        <w:ind w:firstLine="720"/>
        <w:jc w:val="both"/>
        <w:rPr>
          <w:color w:val="000000" w:themeColor="text1"/>
          <w:sz w:val="24"/>
          <w:szCs w:val="24"/>
          <w:lang w:val="ro-RO"/>
        </w:rPr>
      </w:pPr>
      <w:r>
        <w:rPr>
          <w:color w:val="000000" w:themeColor="text1"/>
          <w:sz w:val="24"/>
          <w:szCs w:val="24"/>
          <w:lang w:val="ro-RO"/>
        </w:rPr>
        <w:t xml:space="preserve">Serviciile de organizare conferințe în sistem online presupun transmiterea evenimentelor pe una sau mai multe platforme, multi punct (pe paginile de Facebook, Instagram, Youtube, Zoom, Microsoft Teams sau pagini web), către public cu circuit înschis sau deschis. Participanții și invitații vor beneficia de un acces facil și flexibil la conferințele online. Prin intermediul serviciilor de organizare conferințe în sistem online, întâlnirile virtuale vor fi sigure pentru participanți, care vor primi un link dedicat de </w:t>
      </w:r>
      <w:r>
        <w:rPr>
          <w:color w:val="000000" w:themeColor="text1"/>
          <w:sz w:val="24"/>
          <w:szCs w:val="24"/>
          <w:lang w:val="ro-RO"/>
        </w:rPr>
        <w:lastRenderedPageBreak/>
        <w:t>acces cu user și parola. În funcție de nivelul de interacțiune necesar, participanților li se va putea permite intervenția audio, video sau doar comunicarea permanentă prin intermediul opțiunii de chat.</w:t>
      </w:r>
    </w:p>
    <w:p w14:paraId="245334D1" w14:textId="6F3B4B89" w:rsidR="00F71804" w:rsidRDefault="00F71804" w:rsidP="00F71804">
      <w:pPr>
        <w:pStyle w:val="BodyText"/>
        <w:spacing w:line="276" w:lineRule="auto"/>
        <w:ind w:firstLine="720"/>
        <w:jc w:val="both"/>
        <w:rPr>
          <w:color w:val="000000" w:themeColor="text1"/>
          <w:sz w:val="24"/>
          <w:szCs w:val="24"/>
          <w:lang w:val="ro-RO"/>
        </w:rPr>
      </w:pPr>
      <w:r>
        <w:rPr>
          <w:color w:val="000000" w:themeColor="text1"/>
          <w:sz w:val="24"/>
          <w:szCs w:val="24"/>
          <w:lang w:val="ro-RO"/>
        </w:rPr>
        <w:t>Serviciile de organizare conferințe în sistem fizic asigura buna desfășurare (tehnică – sonorizare, proiectare) a programelor destinate cadrelor didactice.</w:t>
      </w:r>
    </w:p>
    <w:p w14:paraId="629AD4DF" w14:textId="77777777" w:rsidR="00F71804" w:rsidRDefault="00F71804" w:rsidP="001D5A6E">
      <w:pPr>
        <w:pStyle w:val="BodyText"/>
        <w:spacing w:line="276" w:lineRule="auto"/>
        <w:ind w:firstLine="720"/>
        <w:jc w:val="both"/>
        <w:rPr>
          <w:color w:val="000000" w:themeColor="text1"/>
          <w:sz w:val="24"/>
          <w:szCs w:val="24"/>
          <w:lang w:val="ro-RO"/>
        </w:rPr>
      </w:pPr>
    </w:p>
    <w:bookmarkStart w:id="2" w:name="Cap2"/>
    <w:p w14:paraId="628C696F" w14:textId="77777777" w:rsidR="001D5A6E" w:rsidRPr="00683E26" w:rsidRDefault="001D5A6E" w:rsidP="001D5A6E">
      <w:pPr>
        <w:pStyle w:val="BodyText"/>
        <w:spacing w:line="276" w:lineRule="auto"/>
        <w:jc w:val="both"/>
        <w:rPr>
          <w:b/>
          <w:bCs/>
          <w:color w:val="000000" w:themeColor="text1"/>
          <w:sz w:val="24"/>
          <w:szCs w:val="24"/>
          <w:lang w:val="ro-RO"/>
        </w:rPr>
      </w:pPr>
      <w:r>
        <w:fldChar w:fldCharType="begin"/>
      </w:r>
      <w:r>
        <w:instrText>HYPERLINK \l "Cuprins"</w:instrText>
      </w:r>
      <w:r>
        <w:fldChar w:fldCharType="separate"/>
      </w:r>
      <w:r w:rsidRPr="00683E26">
        <w:rPr>
          <w:rStyle w:val="Hyperlink"/>
          <w:b/>
          <w:bCs/>
          <w:color w:val="000000" w:themeColor="text1"/>
          <w:sz w:val="24"/>
          <w:szCs w:val="24"/>
          <w:lang w:val="ro-RO"/>
        </w:rPr>
        <w:t>CAP. II – CERINȚE MINIME PRIVIND SERVICIILE SOLICITATE</w:t>
      </w:r>
      <w:r>
        <w:fldChar w:fldCharType="end"/>
      </w:r>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617E664E" w14:textId="3A8B5AC1" w:rsidR="00E7255F" w:rsidRDefault="001D5A6E" w:rsidP="00E7255F">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E7255F" w:rsidRPr="007E0C6E">
        <w:rPr>
          <w:b/>
          <w:bCs/>
          <w:color w:val="000000" w:themeColor="text1"/>
          <w:sz w:val="24"/>
          <w:szCs w:val="24"/>
          <w:lang w:val="ro-RO"/>
        </w:rPr>
        <w:t xml:space="preserve">Obiectiv: </w:t>
      </w:r>
      <w:r w:rsidR="00E7255F" w:rsidRPr="007B1F00">
        <w:rPr>
          <w:color w:val="000000" w:themeColor="text1"/>
          <w:sz w:val="24"/>
          <w:szCs w:val="24"/>
          <w:lang w:val="ro-RO"/>
        </w:rPr>
        <w:t>Prestarea serviciilor de organizare conferințe în sistem</w:t>
      </w:r>
      <w:r w:rsidR="00E7255F">
        <w:rPr>
          <w:color w:val="000000" w:themeColor="text1"/>
          <w:sz w:val="24"/>
          <w:szCs w:val="24"/>
          <w:lang w:val="ro-RO"/>
        </w:rPr>
        <w:t xml:space="preserve"> fizic și</w:t>
      </w:r>
      <w:r w:rsidR="00E7255F" w:rsidRPr="007B1F00">
        <w:rPr>
          <w:color w:val="000000" w:themeColor="text1"/>
          <w:sz w:val="24"/>
          <w:szCs w:val="24"/>
          <w:lang w:val="ro-RO"/>
        </w:rPr>
        <w:t xml:space="preserve"> online pentru proiectul </w:t>
      </w:r>
      <w:r w:rsidR="00E7255F" w:rsidRPr="00F71804">
        <w:rPr>
          <w:b/>
          <w:bCs/>
          <w:i/>
          <w:iCs/>
          <w:sz w:val="24"/>
          <w:szCs w:val="24"/>
          <w:lang w:val="ro-RO"/>
        </w:rPr>
        <w:t>Invatare si Dezvoltare pentru Cadre Didactice</w:t>
      </w:r>
      <w:r w:rsidR="00E7255F" w:rsidRPr="007B1F00">
        <w:rPr>
          <w:b/>
          <w:bCs/>
          <w:i/>
          <w:iCs/>
          <w:color w:val="000000" w:themeColor="text1"/>
          <w:sz w:val="24"/>
          <w:szCs w:val="24"/>
          <w:lang w:val="ro-RO"/>
        </w:rPr>
        <w:t xml:space="preserve"> </w:t>
      </w:r>
      <w:r w:rsidR="00E7255F">
        <w:rPr>
          <w:color w:val="000000" w:themeColor="text1"/>
          <w:sz w:val="24"/>
          <w:szCs w:val="24"/>
          <w:lang w:val="ro-RO"/>
        </w:rPr>
        <w:t xml:space="preserve">la care sunt așteptați să participe </w:t>
      </w:r>
      <w:r w:rsidR="00E85DCC">
        <w:rPr>
          <w:color w:val="000000" w:themeColor="text1"/>
          <w:sz w:val="24"/>
          <w:szCs w:val="24"/>
          <w:lang w:val="ro-RO"/>
        </w:rPr>
        <w:t>220</w:t>
      </w:r>
      <w:r w:rsidR="00E7255F">
        <w:rPr>
          <w:color w:val="000000" w:themeColor="text1"/>
          <w:sz w:val="24"/>
          <w:szCs w:val="24"/>
          <w:lang w:val="ro-RO"/>
        </w:rPr>
        <w:t xml:space="preserve"> participanți</w:t>
      </w:r>
      <w:r w:rsidR="00E85DCC">
        <w:rPr>
          <w:color w:val="000000" w:themeColor="text1"/>
          <w:sz w:val="24"/>
          <w:szCs w:val="24"/>
          <w:lang w:val="ro-RO"/>
        </w:rPr>
        <w:t>.</w:t>
      </w:r>
    </w:p>
    <w:p w14:paraId="49279F11" w14:textId="77777777" w:rsidR="00E7255F" w:rsidRDefault="00E7255F" w:rsidP="00E7255F">
      <w:pPr>
        <w:spacing w:line="276" w:lineRule="auto"/>
        <w:ind w:firstLine="720"/>
        <w:jc w:val="both"/>
        <w:rPr>
          <w:b/>
          <w:bCs/>
          <w:color w:val="000000" w:themeColor="text1"/>
          <w:sz w:val="24"/>
          <w:szCs w:val="24"/>
          <w:lang w:val="ro-RO"/>
        </w:rPr>
      </w:pPr>
      <w:r w:rsidRPr="005165FC">
        <w:rPr>
          <w:b/>
          <w:bCs/>
          <w:color w:val="000000" w:themeColor="text1"/>
          <w:sz w:val="24"/>
          <w:szCs w:val="24"/>
          <w:lang w:val="ro-RO"/>
        </w:rPr>
        <w:t>Perioada</w:t>
      </w:r>
      <w:r>
        <w:rPr>
          <w:b/>
          <w:bCs/>
          <w:color w:val="000000" w:themeColor="text1"/>
          <w:sz w:val="24"/>
          <w:szCs w:val="24"/>
          <w:lang w:val="ro-RO"/>
        </w:rPr>
        <w:t xml:space="preserve"> estimată: </w:t>
      </w:r>
    </w:p>
    <w:p w14:paraId="100E3C20" w14:textId="653CDD13" w:rsidR="00E7255F" w:rsidRPr="003D4D08" w:rsidRDefault="00E85DCC" w:rsidP="00E7255F">
      <w:pPr>
        <w:pStyle w:val="ListParagraph"/>
        <w:numPr>
          <w:ilvl w:val="0"/>
          <w:numId w:val="11"/>
        </w:numPr>
        <w:spacing w:line="276" w:lineRule="auto"/>
        <w:jc w:val="both"/>
        <w:rPr>
          <w:lang w:val="ro-RO"/>
        </w:rPr>
      </w:pPr>
      <w:r>
        <w:rPr>
          <w:sz w:val="24"/>
          <w:szCs w:val="24"/>
          <w:lang w:val="ro-RO"/>
        </w:rPr>
        <w:t>30 iunie</w:t>
      </w:r>
      <w:r w:rsidR="00E7255F">
        <w:rPr>
          <w:sz w:val="24"/>
          <w:szCs w:val="24"/>
          <w:lang w:val="ro-RO"/>
        </w:rPr>
        <w:t xml:space="preserve"> – </w:t>
      </w:r>
      <w:r>
        <w:rPr>
          <w:sz w:val="24"/>
          <w:szCs w:val="24"/>
          <w:lang w:val="ro-RO"/>
        </w:rPr>
        <w:t>4</w:t>
      </w:r>
      <w:r w:rsidR="00E7255F">
        <w:rPr>
          <w:sz w:val="24"/>
          <w:szCs w:val="24"/>
          <w:lang w:val="ro-RO"/>
        </w:rPr>
        <w:t xml:space="preserve"> </w:t>
      </w:r>
      <w:r>
        <w:rPr>
          <w:sz w:val="24"/>
          <w:szCs w:val="24"/>
          <w:lang w:val="ro-RO"/>
        </w:rPr>
        <w:t>iulie</w:t>
      </w:r>
      <w:r w:rsidR="00E7255F">
        <w:rPr>
          <w:sz w:val="24"/>
          <w:szCs w:val="24"/>
          <w:lang w:val="ro-RO"/>
        </w:rPr>
        <w:t xml:space="preserve"> 202</w:t>
      </w:r>
      <w:r>
        <w:rPr>
          <w:sz w:val="24"/>
          <w:szCs w:val="24"/>
          <w:lang w:val="ro-RO"/>
        </w:rPr>
        <w:t>5</w:t>
      </w:r>
      <w:r w:rsidR="00E7255F">
        <w:rPr>
          <w:sz w:val="24"/>
          <w:szCs w:val="24"/>
          <w:lang w:val="ro-RO"/>
        </w:rPr>
        <w:t>;</w:t>
      </w:r>
    </w:p>
    <w:p w14:paraId="0D254F26" w14:textId="6F9E7AFB" w:rsidR="00E7255F" w:rsidRPr="00D20229" w:rsidRDefault="00E85DCC" w:rsidP="00E7255F">
      <w:pPr>
        <w:pStyle w:val="ListParagraph"/>
        <w:numPr>
          <w:ilvl w:val="0"/>
          <w:numId w:val="11"/>
        </w:numPr>
        <w:spacing w:line="276" w:lineRule="auto"/>
        <w:jc w:val="both"/>
        <w:rPr>
          <w:lang w:val="ro-RO"/>
        </w:rPr>
      </w:pPr>
      <w:r>
        <w:rPr>
          <w:sz w:val="24"/>
          <w:szCs w:val="24"/>
          <w:lang w:val="ro-RO"/>
        </w:rPr>
        <w:t xml:space="preserve">Iulie </w:t>
      </w:r>
      <w:r w:rsidR="00E7255F">
        <w:rPr>
          <w:sz w:val="24"/>
          <w:szCs w:val="24"/>
          <w:lang w:val="ro-RO"/>
        </w:rPr>
        <w:t xml:space="preserve"> 202</w:t>
      </w:r>
      <w:r>
        <w:rPr>
          <w:sz w:val="24"/>
          <w:szCs w:val="24"/>
          <w:lang w:val="ro-RO"/>
        </w:rPr>
        <w:t>5</w:t>
      </w:r>
      <w:r w:rsidR="00E7255F">
        <w:rPr>
          <w:b/>
          <w:bCs/>
          <w:color w:val="000000" w:themeColor="text1"/>
          <w:sz w:val="24"/>
          <w:szCs w:val="24"/>
          <w:lang w:val="ro-RO"/>
        </w:rPr>
        <w:t>*</w:t>
      </w:r>
      <w:r w:rsidR="00E7255F">
        <w:rPr>
          <w:sz w:val="24"/>
          <w:szCs w:val="24"/>
          <w:lang w:val="ro-RO"/>
        </w:rPr>
        <w:t>.</w:t>
      </w:r>
    </w:p>
    <w:p w14:paraId="6B5A2F22" w14:textId="56FCCDAD" w:rsidR="00E7255F" w:rsidRPr="00D20229" w:rsidRDefault="00E7255F" w:rsidP="00E7255F">
      <w:pPr>
        <w:spacing w:line="276" w:lineRule="auto"/>
        <w:jc w:val="both"/>
        <w:rPr>
          <w:lang w:val="ro-RO"/>
        </w:rPr>
      </w:pPr>
      <w:r>
        <w:rPr>
          <w:lang w:val="ro-RO"/>
        </w:rPr>
        <w:t>(*</w:t>
      </w:r>
      <w:r w:rsidRPr="00B44F31">
        <w:rPr>
          <w:i/>
          <w:iCs/>
          <w:lang w:val="ro-RO"/>
        </w:rPr>
        <w:t>perioada estimată poate fi modificată în funcție de numărul participanților înscriși. Achizitorul va înștiința Prestatorul, cu privire la acest aspect, cu minim</w:t>
      </w:r>
      <w:r>
        <w:rPr>
          <w:i/>
          <w:iCs/>
          <w:lang w:val="ro-RO"/>
        </w:rPr>
        <w:t>um</w:t>
      </w:r>
      <w:r w:rsidRPr="00B44F31">
        <w:rPr>
          <w:i/>
          <w:iCs/>
          <w:lang w:val="ro-RO"/>
        </w:rPr>
        <w:t xml:space="preserve"> 5 zile înainte</w:t>
      </w:r>
      <w:r>
        <w:rPr>
          <w:i/>
          <w:iCs/>
          <w:lang w:val="ro-RO"/>
        </w:rPr>
        <w:t xml:space="preserve"> de începerea sesiuni.</w:t>
      </w:r>
      <w:r w:rsidR="00682DBA">
        <w:rPr>
          <w:i/>
          <w:iCs/>
          <w:lang w:val="ro-RO"/>
        </w:rPr>
        <w:t>Sesiunile se vor desfasura in Centrul universitar Pitesti</w:t>
      </w:r>
      <w:r>
        <w:rPr>
          <w:i/>
          <w:iCs/>
          <w:lang w:val="ro-RO"/>
        </w:rPr>
        <w:t>)</w:t>
      </w:r>
    </w:p>
    <w:p w14:paraId="7DCF0C61" w14:textId="77777777" w:rsidR="00E7255F" w:rsidRPr="00255ACB" w:rsidRDefault="00E7255F" w:rsidP="00E7255F">
      <w:pPr>
        <w:spacing w:line="276" w:lineRule="auto"/>
        <w:ind w:left="1080"/>
        <w:jc w:val="both"/>
        <w:rPr>
          <w:lang w:val="ro-RO"/>
        </w:rPr>
      </w:pPr>
    </w:p>
    <w:p w14:paraId="0B1AEE23" w14:textId="05CE2E4F" w:rsidR="00E7255F" w:rsidRDefault="00E7255F" w:rsidP="00E7255F">
      <w:pPr>
        <w:pStyle w:val="BodyText"/>
        <w:spacing w:line="276" w:lineRule="auto"/>
        <w:ind w:firstLine="720"/>
        <w:jc w:val="both"/>
        <w:rPr>
          <w:color w:val="000000" w:themeColor="text1"/>
          <w:sz w:val="24"/>
          <w:szCs w:val="24"/>
          <w:lang w:val="ro-RO"/>
        </w:rPr>
      </w:pPr>
      <w:r w:rsidRPr="007E0C6E">
        <w:rPr>
          <w:b/>
          <w:bCs/>
          <w:color w:val="000000" w:themeColor="text1"/>
          <w:sz w:val="24"/>
          <w:szCs w:val="24"/>
          <w:lang w:val="ro-RO"/>
        </w:rPr>
        <w:t>Locație:</w:t>
      </w:r>
      <w:r w:rsidRPr="00A22D4C">
        <w:rPr>
          <w:color w:val="000000" w:themeColor="text1"/>
          <w:sz w:val="24"/>
          <w:szCs w:val="24"/>
          <w:lang w:val="ro-RO"/>
        </w:rPr>
        <w:t xml:space="preserve"> </w:t>
      </w:r>
      <w:r>
        <w:rPr>
          <w:color w:val="000000" w:themeColor="text1"/>
          <w:sz w:val="24"/>
          <w:szCs w:val="24"/>
          <w:lang w:val="ro-RO"/>
        </w:rPr>
        <w:t xml:space="preserve">Locațiile de desfășurare a fiecărei conferințe va fi anunțată cu cel puțin </w:t>
      </w:r>
      <w:r w:rsidR="00E85DCC">
        <w:rPr>
          <w:color w:val="000000" w:themeColor="text1"/>
          <w:sz w:val="24"/>
          <w:szCs w:val="24"/>
          <w:lang w:val="ro-RO"/>
        </w:rPr>
        <w:t>5</w:t>
      </w:r>
      <w:r>
        <w:rPr>
          <w:color w:val="000000" w:themeColor="text1"/>
          <w:sz w:val="24"/>
          <w:szCs w:val="24"/>
          <w:lang w:val="ro-RO"/>
        </w:rPr>
        <w:t xml:space="preserve"> zile înainte. Locațiile vor fi în cadrul campusului </w:t>
      </w:r>
      <w:r w:rsidR="00E85DCC">
        <w:rPr>
          <w:color w:val="000000" w:themeColor="text1"/>
          <w:sz w:val="24"/>
          <w:szCs w:val="24"/>
          <w:lang w:val="ro-RO"/>
        </w:rPr>
        <w:t>universitatii</w:t>
      </w:r>
      <w:r w:rsidRPr="00FA091D">
        <w:rPr>
          <w:color w:val="000000" w:themeColor="text1"/>
          <w:sz w:val="24"/>
          <w:szCs w:val="24"/>
          <w:lang w:val="ro-RO"/>
        </w:rPr>
        <w:t>.</w:t>
      </w:r>
    </w:p>
    <w:p w14:paraId="232E62CC" w14:textId="77777777" w:rsidR="00E7255F" w:rsidRDefault="00E7255F" w:rsidP="00E7255F">
      <w:pPr>
        <w:pStyle w:val="BodyText"/>
        <w:spacing w:line="276" w:lineRule="auto"/>
        <w:ind w:firstLine="720"/>
        <w:jc w:val="both"/>
        <w:rPr>
          <w:color w:val="000000" w:themeColor="text1"/>
          <w:sz w:val="24"/>
          <w:szCs w:val="24"/>
          <w:lang w:val="ro-RO"/>
        </w:rPr>
      </w:pPr>
    </w:p>
    <w:p w14:paraId="4590FAC9" w14:textId="77777777" w:rsidR="00E7255F" w:rsidRDefault="00E7255F" w:rsidP="00E7255F">
      <w:pPr>
        <w:pStyle w:val="BodyText"/>
        <w:spacing w:line="276" w:lineRule="auto"/>
        <w:jc w:val="both"/>
        <w:rPr>
          <w:color w:val="000000" w:themeColor="text1"/>
          <w:sz w:val="24"/>
          <w:szCs w:val="24"/>
          <w:lang w:val="ro-RO"/>
        </w:rPr>
      </w:pPr>
      <w:r w:rsidRPr="00A22D4C">
        <w:rPr>
          <w:color w:val="000000" w:themeColor="text1"/>
          <w:sz w:val="24"/>
          <w:szCs w:val="24"/>
          <w:lang w:val="ro-RO"/>
        </w:rPr>
        <w:tab/>
      </w:r>
      <w:r>
        <w:rPr>
          <w:b/>
          <w:bCs/>
          <w:color w:val="000000" w:themeColor="text1"/>
          <w:sz w:val="24"/>
          <w:szCs w:val="24"/>
          <w:lang w:val="ro-RO"/>
        </w:rPr>
        <w:t xml:space="preserve">Durata: </w:t>
      </w:r>
      <w:r w:rsidRPr="00861CC3">
        <w:rPr>
          <w:color w:val="000000" w:themeColor="text1"/>
          <w:sz w:val="24"/>
          <w:szCs w:val="24"/>
          <w:lang w:val="ro-RO"/>
        </w:rPr>
        <w:t xml:space="preserve">Fiecare </w:t>
      </w:r>
      <w:r>
        <w:rPr>
          <w:color w:val="000000" w:themeColor="text1"/>
          <w:sz w:val="24"/>
          <w:szCs w:val="24"/>
          <w:lang w:val="ro-RO"/>
        </w:rPr>
        <w:t>conferință în sistem fizic și online</w:t>
      </w:r>
      <w:r w:rsidRPr="00861CC3">
        <w:rPr>
          <w:color w:val="000000" w:themeColor="text1"/>
          <w:sz w:val="24"/>
          <w:szCs w:val="24"/>
          <w:lang w:val="ro-RO"/>
        </w:rPr>
        <w:t xml:space="preserve"> va avea o durată de </w:t>
      </w:r>
      <w:r w:rsidRPr="00AA3489">
        <w:rPr>
          <w:color w:val="000000" w:themeColor="text1"/>
          <w:sz w:val="24"/>
          <w:szCs w:val="24"/>
          <w:lang w:val="ro-RO"/>
        </w:rPr>
        <w:t>2 (două) ore (120 minute/sesiune de training</w:t>
      </w:r>
      <w:r>
        <w:rPr>
          <w:color w:val="000000" w:themeColor="text1"/>
          <w:sz w:val="24"/>
          <w:szCs w:val="24"/>
          <w:lang w:val="ro-RO"/>
        </w:rPr>
        <w:t>/zi</w:t>
      </w:r>
      <w:r w:rsidRPr="00AA3489">
        <w:rPr>
          <w:color w:val="000000" w:themeColor="text1"/>
          <w:sz w:val="24"/>
          <w:szCs w:val="24"/>
          <w:lang w:val="ro-RO"/>
        </w:rPr>
        <w:t>) și poate ajunge până la 8 (opt) ore (480 minute/sesiune de training</w:t>
      </w:r>
      <w:r>
        <w:rPr>
          <w:color w:val="000000" w:themeColor="text1"/>
          <w:sz w:val="24"/>
          <w:szCs w:val="24"/>
          <w:lang w:val="ro-RO"/>
        </w:rPr>
        <w:t>/zi</w:t>
      </w:r>
      <w:r w:rsidRPr="00AA3489">
        <w:rPr>
          <w:color w:val="000000" w:themeColor="text1"/>
          <w:sz w:val="24"/>
          <w:szCs w:val="24"/>
          <w:lang w:val="ro-RO"/>
        </w:rPr>
        <w:t>).</w:t>
      </w:r>
    </w:p>
    <w:p w14:paraId="65F1C037" w14:textId="77777777" w:rsidR="00E7255F" w:rsidRDefault="00E7255F" w:rsidP="00E7255F">
      <w:pPr>
        <w:pStyle w:val="BodyText"/>
        <w:spacing w:line="276" w:lineRule="auto"/>
        <w:jc w:val="both"/>
        <w:rPr>
          <w:color w:val="000000" w:themeColor="text1"/>
          <w:sz w:val="24"/>
          <w:szCs w:val="24"/>
        </w:rPr>
      </w:pPr>
    </w:p>
    <w:p w14:paraId="0667FDF6" w14:textId="77777777" w:rsidR="00E7255F" w:rsidRDefault="00E7255F" w:rsidP="00E7255F">
      <w:pPr>
        <w:pStyle w:val="BodyText"/>
        <w:spacing w:line="276" w:lineRule="auto"/>
        <w:jc w:val="both"/>
        <w:rPr>
          <w:b/>
          <w:bCs/>
          <w:color w:val="000000" w:themeColor="text1"/>
          <w:sz w:val="24"/>
          <w:szCs w:val="24"/>
        </w:rPr>
      </w:pPr>
      <w:r>
        <w:rPr>
          <w:color w:val="000000" w:themeColor="text1"/>
          <w:sz w:val="24"/>
          <w:szCs w:val="24"/>
        </w:rPr>
        <w:tab/>
      </w:r>
      <w:proofErr w:type="spellStart"/>
      <w:r w:rsidRPr="00861CC3">
        <w:rPr>
          <w:b/>
          <w:bCs/>
          <w:color w:val="000000" w:themeColor="text1"/>
          <w:sz w:val="24"/>
          <w:szCs w:val="24"/>
        </w:rPr>
        <w:t>Cantitate</w:t>
      </w:r>
      <w:proofErr w:type="spellEnd"/>
      <w:r w:rsidRPr="00861CC3">
        <w:rPr>
          <w:b/>
          <w:bCs/>
          <w:color w:val="000000" w:themeColor="text1"/>
          <w:sz w:val="24"/>
          <w:szCs w:val="24"/>
        </w:rPr>
        <w:t>:</w:t>
      </w:r>
    </w:p>
    <w:p w14:paraId="5E868322" w14:textId="386D8442" w:rsidR="00E7255F" w:rsidRDefault="00E7255F" w:rsidP="00E7255F">
      <w:pPr>
        <w:pStyle w:val="BodyText"/>
        <w:numPr>
          <w:ilvl w:val="0"/>
          <w:numId w:val="21"/>
        </w:numPr>
        <w:spacing w:line="276" w:lineRule="auto"/>
        <w:jc w:val="both"/>
        <w:rPr>
          <w:color w:val="000000" w:themeColor="text1"/>
          <w:sz w:val="24"/>
          <w:szCs w:val="24"/>
        </w:rPr>
      </w:pPr>
      <w:r>
        <w:rPr>
          <w:color w:val="000000" w:themeColor="text1"/>
          <w:sz w:val="24"/>
          <w:szCs w:val="24"/>
        </w:rPr>
        <w:t xml:space="preserve"> </w:t>
      </w:r>
      <w:proofErr w:type="spellStart"/>
      <w:r>
        <w:rPr>
          <w:color w:val="000000" w:themeColor="text1"/>
          <w:sz w:val="24"/>
          <w:szCs w:val="24"/>
        </w:rPr>
        <w:t>Numărul</w:t>
      </w:r>
      <w:proofErr w:type="spellEnd"/>
      <w:r>
        <w:rPr>
          <w:color w:val="000000" w:themeColor="text1"/>
          <w:sz w:val="24"/>
          <w:szCs w:val="24"/>
        </w:rPr>
        <w:t xml:space="preserve"> total de </w:t>
      </w:r>
      <w:proofErr w:type="spellStart"/>
      <w:r>
        <w:rPr>
          <w:color w:val="000000" w:themeColor="text1"/>
          <w:sz w:val="24"/>
          <w:szCs w:val="24"/>
        </w:rPr>
        <w:t>conferințe</w:t>
      </w:r>
      <w:proofErr w:type="spellEnd"/>
      <w:r>
        <w:rPr>
          <w:color w:val="000000" w:themeColor="text1"/>
          <w:sz w:val="24"/>
          <w:szCs w:val="24"/>
        </w:rPr>
        <w:t xml:space="preserve"> online: </w:t>
      </w:r>
      <w:proofErr w:type="gramStart"/>
      <w:r>
        <w:rPr>
          <w:color w:val="000000" w:themeColor="text1"/>
          <w:sz w:val="24"/>
          <w:szCs w:val="24"/>
        </w:rPr>
        <w:t>4;</w:t>
      </w:r>
      <w:proofErr w:type="gramEnd"/>
    </w:p>
    <w:p w14:paraId="6961951A" w14:textId="73A0569E" w:rsidR="00E7255F" w:rsidRDefault="00E7255F" w:rsidP="00E7255F">
      <w:pPr>
        <w:pStyle w:val="BodyText"/>
        <w:numPr>
          <w:ilvl w:val="0"/>
          <w:numId w:val="21"/>
        </w:numPr>
        <w:spacing w:line="276" w:lineRule="auto"/>
        <w:jc w:val="both"/>
        <w:rPr>
          <w:color w:val="000000" w:themeColor="text1"/>
          <w:sz w:val="24"/>
          <w:szCs w:val="24"/>
        </w:rPr>
      </w:pPr>
      <w:proofErr w:type="spellStart"/>
      <w:r>
        <w:rPr>
          <w:color w:val="000000" w:themeColor="text1"/>
          <w:sz w:val="24"/>
          <w:szCs w:val="24"/>
        </w:rPr>
        <w:t>Numărul</w:t>
      </w:r>
      <w:proofErr w:type="spellEnd"/>
      <w:r>
        <w:rPr>
          <w:color w:val="000000" w:themeColor="text1"/>
          <w:sz w:val="24"/>
          <w:szCs w:val="24"/>
        </w:rPr>
        <w:t xml:space="preserve"> total de </w:t>
      </w:r>
      <w:proofErr w:type="spellStart"/>
      <w:r>
        <w:rPr>
          <w:color w:val="000000" w:themeColor="text1"/>
          <w:sz w:val="24"/>
          <w:szCs w:val="24"/>
        </w:rPr>
        <w:t>conferințe</w:t>
      </w:r>
      <w:proofErr w:type="spellEnd"/>
      <w:r>
        <w:rPr>
          <w:color w:val="000000" w:themeColor="text1"/>
          <w:sz w:val="24"/>
          <w:szCs w:val="24"/>
        </w:rPr>
        <w:t xml:space="preserve"> </w:t>
      </w:r>
      <w:proofErr w:type="spellStart"/>
      <w:r>
        <w:rPr>
          <w:color w:val="000000" w:themeColor="text1"/>
          <w:sz w:val="24"/>
          <w:szCs w:val="24"/>
        </w:rPr>
        <w:t>fizice</w:t>
      </w:r>
      <w:proofErr w:type="spellEnd"/>
      <w:r>
        <w:rPr>
          <w:color w:val="000000" w:themeColor="text1"/>
          <w:sz w:val="24"/>
          <w:szCs w:val="24"/>
        </w:rPr>
        <w:t>: 10.</w:t>
      </w:r>
    </w:p>
    <w:p w14:paraId="5FA1F9E8" w14:textId="77777777" w:rsidR="00E7255F" w:rsidRDefault="00E7255F" w:rsidP="00E7255F">
      <w:pPr>
        <w:pStyle w:val="BodyText"/>
        <w:spacing w:line="276" w:lineRule="auto"/>
        <w:jc w:val="both"/>
        <w:rPr>
          <w:color w:val="000000" w:themeColor="text1"/>
          <w:sz w:val="24"/>
          <w:szCs w:val="24"/>
        </w:rPr>
      </w:pPr>
      <w:r>
        <w:rPr>
          <w:color w:val="000000" w:themeColor="text1"/>
          <w:sz w:val="24"/>
          <w:szCs w:val="24"/>
        </w:rPr>
        <w:tab/>
      </w:r>
      <w:r>
        <w:rPr>
          <w:color w:val="000000" w:themeColor="text1"/>
          <w:sz w:val="24"/>
          <w:szCs w:val="24"/>
        </w:rPr>
        <w:tab/>
        <w:t xml:space="preserve">      </w:t>
      </w:r>
    </w:p>
    <w:p w14:paraId="63FD35F6" w14:textId="6655C171" w:rsidR="00E7255F" w:rsidRDefault="00E7255F" w:rsidP="00E7255F">
      <w:pPr>
        <w:pStyle w:val="BodyText"/>
        <w:spacing w:line="276" w:lineRule="auto"/>
        <w:jc w:val="both"/>
        <w:rPr>
          <w:color w:val="000000" w:themeColor="text1"/>
          <w:sz w:val="24"/>
          <w:szCs w:val="24"/>
        </w:rPr>
      </w:pPr>
      <w:r>
        <w:rPr>
          <w:color w:val="000000" w:themeColor="text1"/>
          <w:sz w:val="24"/>
          <w:szCs w:val="24"/>
        </w:rPr>
        <w:lastRenderedPageBreak/>
        <w:tab/>
      </w:r>
      <w:proofErr w:type="spellStart"/>
      <w:r>
        <w:rPr>
          <w:b/>
          <w:bCs/>
          <w:color w:val="000000" w:themeColor="text1"/>
          <w:sz w:val="24"/>
          <w:szCs w:val="24"/>
        </w:rPr>
        <w:t>Descriere</w:t>
      </w:r>
      <w:proofErr w:type="spellEnd"/>
      <w:r w:rsidRPr="00CA61EF">
        <w:rPr>
          <w:b/>
          <w:bCs/>
          <w:color w:val="000000" w:themeColor="text1"/>
          <w:sz w:val="24"/>
          <w:szCs w:val="24"/>
        </w:rPr>
        <w:t>:</w:t>
      </w:r>
      <w:r>
        <w:rPr>
          <w:color w:val="000000" w:themeColor="text1"/>
          <w:sz w:val="24"/>
          <w:szCs w:val="24"/>
        </w:rPr>
        <w:t xml:space="preserve"> </w:t>
      </w:r>
      <w:proofErr w:type="spellStart"/>
      <w:r>
        <w:rPr>
          <w:color w:val="000000" w:themeColor="text1"/>
          <w:sz w:val="24"/>
          <w:szCs w:val="24"/>
        </w:rPr>
        <w:t>Sesiunile</w:t>
      </w:r>
      <w:proofErr w:type="spellEnd"/>
      <w:r>
        <w:rPr>
          <w:color w:val="000000" w:themeColor="text1"/>
          <w:sz w:val="24"/>
          <w:szCs w:val="24"/>
        </w:rPr>
        <w:t xml:space="preserve"> se </w:t>
      </w:r>
      <w:proofErr w:type="spellStart"/>
      <w:r>
        <w:rPr>
          <w:color w:val="000000" w:themeColor="text1"/>
          <w:sz w:val="24"/>
          <w:szCs w:val="24"/>
        </w:rPr>
        <w:t>vor</w:t>
      </w:r>
      <w:proofErr w:type="spellEnd"/>
      <w:r>
        <w:rPr>
          <w:color w:val="000000" w:themeColor="text1"/>
          <w:sz w:val="24"/>
          <w:szCs w:val="24"/>
        </w:rPr>
        <w:t xml:space="preserve"> </w:t>
      </w:r>
      <w:proofErr w:type="spellStart"/>
      <w:r>
        <w:rPr>
          <w:color w:val="000000" w:themeColor="text1"/>
          <w:sz w:val="24"/>
          <w:szCs w:val="24"/>
        </w:rPr>
        <w:t>desfășura</w:t>
      </w:r>
      <w:proofErr w:type="spellEnd"/>
      <w:r>
        <w:rPr>
          <w:color w:val="000000" w:themeColor="text1"/>
          <w:sz w:val="24"/>
          <w:szCs w:val="24"/>
        </w:rPr>
        <w:t xml:space="preserve">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perioada</w:t>
      </w:r>
      <w:proofErr w:type="spellEnd"/>
      <w:r>
        <w:rPr>
          <w:color w:val="000000" w:themeColor="text1"/>
          <w:sz w:val="24"/>
          <w:szCs w:val="24"/>
        </w:rPr>
        <w:t xml:space="preserve"> </w:t>
      </w:r>
      <w:proofErr w:type="spellStart"/>
      <w:r>
        <w:rPr>
          <w:color w:val="000000" w:themeColor="text1"/>
          <w:sz w:val="24"/>
          <w:szCs w:val="24"/>
        </w:rPr>
        <w:t>iunie</w:t>
      </w:r>
      <w:proofErr w:type="spellEnd"/>
      <w:r>
        <w:rPr>
          <w:color w:val="000000" w:themeColor="text1"/>
          <w:sz w:val="24"/>
          <w:szCs w:val="24"/>
        </w:rPr>
        <w:t xml:space="preserve"> – </w:t>
      </w:r>
      <w:proofErr w:type="spellStart"/>
      <w:r>
        <w:rPr>
          <w:color w:val="000000" w:themeColor="text1"/>
          <w:sz w:val="24"/>
          <w:szCs w:val="24"/>
        </w:rPr>
        <w:t>iulie</w:t>
      </w:r>
      <w:proofErr w:type="spellEnd"/>
      <w:r>
        <w:rPr>
          <w:color w:val="000000" w:themeColor="text1"/>
          <w:sz w:val="24"/>
          <w:szCs w:val="24"/>
        </w:rPr>
        <w:t xml:space="preserve"> 2025, conform </w:t>
      </w:r>
      <w:proofErr w:type="spellStart"/>
      <w:r>
        <w:rPr>
          <w:color w:val="000000" w:themeColor="text1"/>
          <w:sz w:val="24"/>
          <w:szCs w:val="24"/>
        </w:rPr>
        <w:t>perioadei</w:t>
      </w:r>
      <w:proofErr w:type="spellEnd"/>
      <w:r>
        <w:rPr>
          <w:color w:val="000000" w:themeColor="text1"/>
          <w:sz w:val="24"/>
          <w:szCs w:val="24"/>
        </w:rPr>
        <w:t xml:space="preserve"> estimate </w:t>
      </w:r>
      <w:proofErr w:type="spellStart"/>
      <w:r>
        <w:rPr>
          <w:color w:val="000000" w:themeColor="text1"/>
          <w:sz w:val="24"/>
          <w:szCs w:val="24"/>
        </w:rPr>
        <w:t>menționate</w:t>
      </w:r>
      <w:proofErr w:type="spellEnd"/>
      <w:r>
        <w:rPr>
          <w:color w:val="000000" w:themeColor="text1"/>
          <w:sz w:val="24"/>
          <w:szCs w:val="24"/>
        </w:rPr>
        <w:t xml:space="preserve"> </w:t>
      </w:r>
      <w:proofErr w:type="spellStart"/>
      <w:r>
        <w:rPr>
          <w:color w:val="000000" w:themeColor="text1"/>
          <w:sz w:val="24"/>
          <w:szCs w:val="24"/>
        </w:rPr>
        <w:t>mai</w:t>
      </w:r>
      <w:proofErr w:type="spellEnd"/>
      <w:r>
        <w:rPr>
          <w:color w:val="000000" w:themeColor="text1"/>
          <w:sz w:val="24"/>
          <w:szCs w:val="24"/>
        </w:rPr>
        <w:t xml:space="preserve"> sus. </w:t>
      </w:r>
      <w:proofErr w:type="spellStart"/>
      <w:r>
        <w:rPr>
          <w:color w:val="000000" w:themeColor="text1"/>
          <w:sz w:val="24"/>
          <w:szCs w:val="24"/>
        </w:rPr>
        <w:t>Prestatorul</w:t>
      </w:r>
      <w:proofErr w:type="spellEnd"/>
      <w:r>
        <w:rPr>
          <w:color w:val="000000" w:themeColor="text1"/>
          <w:sz w:val="24"/>
          <w:szCs w:val="24"/>
        </w:rPr>
        <w:t xml:space="preserve"> are </w:t>
      </w:r>
      <w:proofErr w:type="spellStart"/>
      <w:r>
        <w:rPr>
          <w:color w:val="000000" w:themeColor="text1"/>
          <w:sz w:val="24"/>
          <w:szCs w:val="24"/>
        </w:rPr>
        <w:t>obligația</w:t>
      </w:r>
      <w:proofErr w:type="spellEnd"/>
      <w:r>
        <w:rPr>
          <w:color w:val="000000" w:themeColor="text1"/>
          <w:sz w:val="24"/>
          <w:szCs w:val="24"/>
        </w:rPr>
        <w:t xml:space="preserve"> de </w:t>
      </w:r>
      <w:proofErr w:type="gramStart"/>
      <w:r>
        <w:rPr>
          <w:color w:val="000000" w:themeColor="text1"/>
          <w:sz w:val="24"/>
          <w:szCs w:val="24"/>
        </w:rPr>
        <w:t>a</w:t>
      </w:r>
      <w:proofErr w:type="gramEnd"/>
      <w:r>
        <w:rPr>
          <w:color w:val="000000" w:themeColor="text1"/>
          <w:sz w:val="24"/>
          <w:szCs w:val="24"/>
        </w:rPr>
        <w:t xml:space="preserve"> </w:t>
      </w:r>
      <w:proofErr w:type="spellStart"/>
      <w:r>
        <w:rPr>
          <w:color w:val="000000" w:themeColor="text1"/>
          <w:sz w:val="24"/>
          <w:szCs w:val="24"/>
        </w:rPr>
        <w:t>asigura</w:t>
      </w:r>
      <w:proofErr w:type="spellEnd"/>
      <w:r>
        <w:rPr>
          <w:color w:val="000000" w:themeColor="text1"/>
          <w:sz w:val="24"/>
          <w:szCs w:val="24"/>
        </w:rPr>
        <w:t xml:space="preserve"> </w:t>
      </w:r>
      <w:proofErr w:type="spellStart"/>
      <w:r>
        <w:rPr>
          <w:color w:val="000000" w:themeColor="text1"/>
          <w:sz w:val="24"/>
          <w:szCs w:val="24"/>
        </w:rPr>
        <w:t>servicii</w:t>
      </w:r>
      <w:proofErr w:type="spellEnd"/>
      <w:r>
        <w:rPr>
          <w:color w:val="000000" w:themeColor="text1"/>
          <w:sz w:val="24"/>
          <w:szCs w:val="24"/>
        </w:rPr>
        <w:t xml:space="preserve"> de </w:t>
      </w:r>
      <w:proofErr w:type="spellStart"/>
      <w:r>
        <w:rPr>
          <w:color w:val="000000" w:themeColor="text1"/>
          <w:sz w:val="24"/>
          <w:szCs w:val="24"/>
        </w:rPr>
        <w:t>organizare</w:t>
      </w:r>
      <w:proofErr w:type="spellEnd"/>
      <w:r>
        <w:rPr>
          <w:color w:val="000000" w:themeColor="text1"/>
          <w:sz w:val="24"/>
          <w:szCs w:val="24"/>
        </w:rPr>
        <w:t xml:space="preserve"> </w:t>
      </w:r>
      <w:proofErr w:type="spellStart"/>
      <w:r>
        <w:rPr>
          <w:color w:val="000000" w:themeColor="text1"/>
          <w:sz w:val="24"/>
          <w:szCs w:val="24"/>
        </w:rPr>
        <w:t>conferințe</w:t>
      </w:r>
      <w:proofErr w:type="spellEnd"/>
      <w:r>
        <w:rPr>
          <w:color w:val="000000" w:themeColor="text1"/>
          <w:sz w:val="24"/>
          <w:szCs w:val="24"/>
        </w:rPr>
        <w:t xml:space="preserve">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sistem</w:t>
      </w:r>
      <w:proofErr w:type="spellEnd"/>
      <w:r>
        <w:rPr>
          <w:color w:val="000000" w:themeColor="text1"/>
          <w:sz w:val="24"/>
          <w:szCs w:val="24"/>
        </w:rPr>
        <w:t xml:space="preserve"> </w:t>
      </w:r>
      <w:proofErr w:type="spellStart"/>
      <w:r>
        <w:rPr>
          <w:color w:val="000000" w:themeColor="text1"/>
          <w:sz w:val="24"/>
          <w:szCs w:val="24"/>
        </w:rPr>
        <w:t>fizic</w:t>
      </w:r>
      <w:proofErr w:type="spellEnd"/>
      <w:r>
        <w:rPr>
          <w:color w:val="000000" w:themeColor="text1"/>
          <w:sz w:val="24"/>
          <w:szCs w:val="24"/>
        </w:rPr>
        <w:t xml:space="preserve"> </w:t>
      </w:r>
      <w:proofErr w:type="spellStart"/>
      <w:proofErr w:type="gramStart"/>
      <w:r>
        <w:rPr>
          <w:color w:val="000000" w:themeColor="text1"/>
          <w:sz w:val="24"/>
          <w:szCs w:val="24"/>
        </w:rPr>
        <w:t>și</w:t>
      </w:r>
      <w:proofErr w:type="spellEnd"/>
      <w:r>
        <w:rPr>
          <w:color w:val="000000" w:themeColor="text1"/>
          <w:sz w:val="24"/>
          <w:szCs w:val="24"/>
        </w:rPr>
        <w:t xml:space="preserve">  online</w:t>
      </w:r>
      <w:proofErr w:type="gramEnd"/>
      <w:r>
        <w:rPr>
          <w:color w:val="000000" w:themeColor="text1"/>
          <w:sz w:val="24"/>
          <w:szCs w:val="24"/>
        </w:rPr>
        <w:t xml:space="preserve"> </w:t>
      </w:r>
      <w:proofErr w:type="spellStart"/>
      <w:r>
        <w:rPr>
          <w:color w:val="000000" w:themeColor="text1"/>
          <w:sz w:val="24"/>
          <w:szCs w:val="24"/>
        </w:rPr>
        <w:t>pentru</w:t>
      </w:r>
      <w:proofErr w:type="spellEnd"/>
      <w:r>
        <w:rPr>
          <w:color w:val="000000" w:themeColor="text1"/>
          <w:sz w:val="24"/>
          <w:szCs w:val="24"/>
        </w:rPr>
        <w:t xml:space="preserve"> minimum 220 </w:t>
      </w:r>
      <w:proofErr w:type="spellStart"/>
      <w:r>
        <w:rPr>
          <w:color w:val="000000" w:themeColor="text1"/>
          <w:sz w:val="24"/>
          <w:szCs w:val="24"/>
        </w:rPr>
        <w:t>participanți</w:t>
      </w:r>
      <w:proofErr w:type="spellEnd"/>
      <w:r>
        <w:rPr>
          <w:color w:val="000000" w:themeColor="text1"/>
          <w:sz w:val="24"/>
          <w:szCs w:val="24"/>
        </w:rPr>
        <w:t>.</w:t>
      </w:r>
    </w:p>
    <w:p w14:paraId="040C01CD" w14:textId="77777777" w:rsidR="00E7255F" w:rsidRDefault="00E7255F" w:rsidP="00E7255F">
      <w:pPr>
        <w:pStyle w:val="BodyText"/>
        <w:spacing w:line="276" w:lineRule="auto"/>
        <w:jc w:val="both"/>
        <w:rPr>
          <w:color w:val="000000" w:themeColor="text1"/>
          <w:sz w:val="24"/>
          <w:szCs w:val="24"/>
        </w:rPr>
      </w:pPr>
      <w:r>
        <w:rPr>
          <w:color w:val="000000" w:themeColor="text1"/>
          <w:sz w:val="24"/>
          <w:szCs w:val="24"/>
        </w:rPr>
        <w:t xml:space="preserve"> </w:t>
      </w:r>
      <w:proofErr w:type="spellStart"/>
      <w:r>
        <w:rPr>
          <w:color w:val="000000" w:themeColor="text1"/>
          <w:sz w:val="24"/>
          <w:szCs w:val="24"/>
        </w:rPr>
        <w:t>Echipamentele</w:t>
      </w:r>
      <w:proofErr w:type="spellEnd"/>
      <w:r>
        <w:rPr>
          <w:color w:val="000000" w:themeColor="text1"/>
          <w:sz w:val="24"/>
          <w:szCs w:val="24"/>
        </w:rPr>
        <w:t xml:space="preserve"> </w:t>
      </w:r>
      <w:proofErr w:type="spellStart"/>
      <w:r>
        <w:rPr>
          <w:color w:val="000000" w:themeColor="text1"/>
          <w:sz w:val="24"/>
          <w:szCs w:val="24"/>
        </w:rPr>
        <w:t>tehnice</w:t>
      </w:r>
      <w:proofErr w:type="spellEnd"/>
      <w:r>
        <w:rPr>
          <w:color w:val="000000" w:themeColor="text1"/>
          <w:sz w:val="24"/>
          <w:szCs w:val="24"/>
        </w:rPr>
        <w:t xml:space="preserve"> </w:t>
      </w:r>
      <w:proofErr w:type="spellStart"/>
      <w:r>
        <w:rPr>
          <w:color w:val="000000" w:themeColor="text1"/>
          <w:sz w:val="24"/>
          <w:szCs w:val="24"/>
        </w:rPr>
        <w:t>necesare</w:t>
      </w:r>
      <w:proofErr w:type="spellEnd"/>
      <w:r>
        <w:rPr>
          <w:color w:val="000000" w:themeColor="text1"/>
          <w:sz w:val="24"/>
          <w:szCs w:val="24"/>
        </w:rPr>
        <w:t xml:space="preserve"> </w:t>
      </w:r>
      <w:proofErr w:type="spellStart"/>
      <w:r>
        <w:rPr>
          <w:color w:val="000000" w:themeColor="text1"/>
          <w:sz w:val="24"/>
          <w:szCs w:val="24"/>
        </w:rPr>
        <w:t>organizării</w:t>
      </w:r>
      <w:proofErr w:type="spellEnd"/>
      <w:r>
        <w:rPr>
          <w:color w:val="000000" w:themeColor="text1"/>
          <w:sz w:val="24"/>
          <w:szCs w:val="24"/>
        </w:rPr>
        <w:t xml:space="preserve"> </w:t>
      </w:r>
      <w:proofErr w:type="spellStart"/>
      <w:r>
        <w:rPr>
          <w:color w:val="000000" w:themeColor="text1"/>
          <w:sz w:val="24"/>
          <w:szCs w:val="24"/>
        </w:rPr>
        <w:t>conferințelor</w:t>
      </w:r>
      <w:proofErr w:type="spellEnd"/>
      <w:r>
        <w:rPr>
          <w:color w:val="000000" w:themeColor="text1"/>
          <w:sz w:val="24"/>
          <w:szCs w:val="24"/>
        </w:rPr>
        <w:t xml:space="preserve">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sistem</w:t>
      </w:r>
      <w:proofErr w:type="spellEnd"/>
      <w:r>
        <w:rPr>
          <w:color w:val="000000" w:themeColor="text1"/>
          <w:sz w:val="24"/>
          <w:szCs w:val="24"/>
        </w:rPr>
        <w:t xml:space="preserve"> </w:t>
      </w:r>
      <w:proofErr w:type="spellStart"/>
      <w:r>
        <w:rPr>
          <w:color w:val="000000" w:themeColor="text1"/>
          <w:sz w:val="24"/>
          <w:szCs w:val="24"/>
        </w:rPr>
        <w:t>fizic</w:t>
      </w:r>
      <w:proofErr w:type="spellEnd"/>
      <w:r>
        <w:rPr>
          <w:color w:val="000000" w:themeColor="text1"/>
          <w:sz w:val="24"/>
          <w:szCs w:val="24"/>
        </w:rPr>
        <w:t xml:space="preserve"> </w:t>
      </w:r>
      <w:proofErr w:type="spellStart"/>
      <w:r>
        <w:rPr>
          <w:color w:val="000000" w:themeColor="text1"/>
          <w:sz w:val="24"/>
          <w:szCs w:val="24"/>
        </w:rPr>
        <w:t>și</w:t>
      </w:r>
      <w:proofErr w:type="spellEnd"/>
      <w:r>
        <w:rPr>
          <w:color w:val="000000" w:themeColor="text1"/>
          <w:sz w:val="24"/>
          <w:szCs w:val="24"/>
        </w:rPr>
        <w:t xml:space="preserve"> online </w:t>
      </w:r>
      <w:proofErr w:type="spellStart"/>
      <w:r>
        <w:rPr>
          <w:color w:val="000000" w:themeColor="text1"/>
          <w:sz w:val="24"/>
          <w:szCs w:val="24"/>
        </w:rPr>
        <w:t>vor</w:t>
      </w:r>
      <w:proofErr w:type="spellEnd"/>
      <w:r>
        <w:rPr>
          <w:color w:val="000000" w:themeColor="text1"/>
          <w:sz w:val="24"/>
          <w:szCs w:val="24"/>
        </w:rPr>
        <w:t xml:space="preserve"> fi </w:t>
      </w:r>
      <w:proofErr w:type="spellStart"/>
      <w:r>
        <w:rPr>
          <w:color w:val="000000" w:themeColor="text1"/>
          <w:sz w:val="24"/>
          <w:szCs w:val="24"/>
        </w:rPr>
        <w:t>puse</w:t>
      </w:r>
      <w:proofErr w:type="spellEnd"/>
      <w:r>
        <w:rPr>
          <w:color w:val="000000" w:themeColor="text1"/>
          <w:sz w:val="24"/>
          <w:szCs w:val="24"/>
        </w:rPr>
        <w:t xml:space="preserve">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funcțiune</w:t>
      </w:r>
      <w:proofErr w:type="spellEnd"/>
      <w:r>
        <w:rPr>
          <w:color w:val="000000" w:themeColor="text1"/>
          <w:sz w:val="24"/>
          <w:szCs w:val="24"/>
        </w:rPr>
        <w:t xml:space="preserve"> de </w:t>
      </w:r>
      <w:proofErr w:type="spellStart"/>
      <w:r>
        <w:rPr>
          <w:color w:val="000000" w:themeColor="text1"/>
          <w:sz w:val="24"/>
          <w:szCs w:val="24"/>
        </w:rPr>
        <w:t>către</w:t>
      </w:r>
      <w:proofErr w:type="spellEnd"/>
      <w:r>
        <w:rPr>
          <w:color w:val="000000" w:themeColor="text1"/>
          <w:sz w:val="24"/>
          <w:szCs w:val="24"/>
        </w:rPr>
        <w:t xml:space="preserve"> </w:t>
      </w:r>
      <w:proofErr w:type="spellStart"/>
      <w:r>
        <w:rPr>
          <w:color w:val="000000" w:themeColor="text1"/>
          <w:sz w:val="24"/>
          <w:szCs w:val="24"/>
        </w:rPr>
        <w:t>personalul</w:t>
      </w:r>
      <w:proofErr w:type="spellEnd"/>
      <w:r>
        <w:rPr>
          <w:color w:val="000000" w:themeColor="text1"/>
          <w:sz w:val="24"/>
          <w:szCs w:val="24"/>
        </w:rPr>
        <w:t xml:space="preserve"> </w:t>
      </w:r>
      <w:proofErr w:type="spellStart"/>
      <w:r>
        <w:rPr>
          <w:color w:val="000000" w:themeColor="text1"/>
          <w:sz w:val="24"/>
          <w:szCs w:val="24"/>
        </w:rPr>
        <w:t>propriu</w:t>
      </w:r>
      <w:proofErr w:type="spellEnd"/>
      <w:r>
        <w:rPr>
          <w:color w:val="000000" w:themeColor="text1"/>
          <w:sz w:val="24"/>
          <w:szCs w:val="24"/>
        </w:rPr>
        <w:t xml:space="preserve"> al </w:t>
      </w:r>
      <w:proofErr w:type="spellStart"/>
      <w:r>
        <w:rPr>
          <w:color w:val="000000" w:themeColor="text1"/>
          <w:sz w:val="24"/>
          <w:szCs w:val="24"/>
        </w:rPr>
        <w:t>prestatorului</w:t>
      </w:r>
      <w:proofErr w:type="spellEnd"/>
      <w:r>
        <w:rPr>
          <w:color w:val="000000" w:themeColor="text1"/>
          <w:sz w:val="24"/>
          <w:szCs w:val="24"/>
        </w:rPr>
        <w:t xml:space="preserve"> care </w:t>
      </w:r>
      <w:proofErr w:type="spellStart"/>
      <w:r>
        <w:rPr>
          <w:color w:val="000000" w:themeColor="text1"/>
          <w:sz w:val="24"/>
          <w:szCs w:val="24"/>
        </w:rPr>
        <w:t>va</w:t>
      </w:r>
      <w:proofErr w:type="spellEnd"/>
      <w:r>
        <w:rPr>
          <w:color w:val="000000" w:themeColor="text1"/>
          <w:sz w:val="24"/>
          <w:szCs w:val="24"/>
        </w:rPr>
        <w:t xml:space="preserve"> </w:t>
      </w:r>
      <w:proofErr w:type="spellStart"/>
      <w:r>
        <w:rPr>
          <w:color w:val="000000" w:themeColor="text1"/>
          <w:sz w:val="24"/>
          <w:szCs w:val="24"/>
        </w:rPr>
        <w:t>asista</w:t>
      </w:r>
      <w:proofErr w:type="spellEnd"/>
      <w:r>
        <w:rPr>
          <w:color w:val="000000" w:themeColor="text1"/>
          <w:sz w:val="24"/>
          <w:szCs w:val="24"/>
        </w:rPr>
        <w:t xml:space="preserve"> pe </w:t>
      </w:r>
      <w:proofErr w:type="spellStart"/>
      <w:r>
        <w:rPr>
          <w:color w:val="000000" w:themeColor="text1"/>
          <w:sz w:val="24"/>
          <w:szCs w:val="24"/>
        </w:rPr>
        <w:t>toată</w:t>
      </w:r>
      <w:proofErr w:type="spellEnd"/>
      <w:r>
        <w:rPr>
          <w:color w:val="000000" w:themeColor="text1"/>
          <w:sz w:val="24"/>
          <w:szCs w:val="24"/>
        </w:rPr>
        <w:t xml:space="preserve"> </w:t>
      </w:r>
      <w:proofErr w:type="spellStart"/>
      <w:r>
        <w:rPr>
          <w:color w:val="000000" w:themeColor="text1"/>
          <w:sz w:val="24"/>
          <w:szCs w:val="24"/>
        </w:rPr>
        <w:t>perioada</w:t>
      </w:r>
      <w:proofErr w:type="spellEnd"/>
      <w:r>
        <w:rPr>
          <w:color w:val="000000" w:themeColor="text1"/>
          <w:sz w:val="24"/>
          <w:szCs w:val="24"/>
        </w:rPr>
        <w:t xml:space="preserve"> de </w:t>
      </w:r>
      <w:proofErr w:type="spellStart"/>
      <w:r>
        <w:rPr>
          <w:color w:val="000000" w:themeColor="text1"/>
          <w:sz w:val="24"/>
          <w:szCs w:val="24"/>
        </w:rPr>
        <w:t>desfășurare</w:t>
      </w:r>
      <w:proofErr w:type="spellEnd"/>
      <w:r>
        <w:rPr>
          <w:color w:val="000000" w:themeColor="text1"/>
          <w:sz w:val="24"/>
          <w:szCs w:val="24"/>
        </w:rPr>
        <w:t xml:space="preserve"> </w:t>
      </w:r>
      <w:proofErr w:type="gramStart"/>
      <w:r>
        <w:rPr>
          <w:color w:val="000000" w:themeColor="text1"/>
          <w:sz w:val="24"/>
          <w:szCs w:val="24"/>
        </w:rPr>
        <w:t>a</w:t>
      </w:r>
      <w:proofErr w:type="gramEnd"/>
      <w:r>
        <w:rPr>
          <w:color w:val="000000" w:themeColor="text1"/>
          <w:sz w:val="24"/>
          <w:szCs w:val="24"/>
        </w:rPr>
        <w:t xml:space="preserve"> </w:t>
      </w:r>
      <w:proofErr w:type="spellStart"/>
      <w:r>
        <w:rPr>
          <w:color w:val="000000" w:themeColor="text1"/>
          <w:sz w:val="24"/>
          <w:szCs w:val="24"/>
        </w:rPr>
        <w:t>evenimentelor</w:t>
      </w:r>
      <w:proofErr w:type="spellEnd"/>
    </w:p>
    <w:p w14:paraId="5BADCA5F" w14:textId="77777777" w:rsidR="00E7255F" w:rsidRDefault="00E7255F" w:rsidP="00E7255F">
      <w:pPr>
        <w:pStyle w:val="BodyText"/>
        <w:spacing w:line="276" w:lineRule="auto"/>
        <w:jc w:val="both"/>
        <w:rPr>
          <w:color w:val="000000" w:themeColor="text1"/>
          <w:sz w:val="24"/>
          <w:szCs w:val="24"/>
        </w:rPr>
      </w:pPr>
    </w:p>
    <w:p w14:paraId="3539817E" w14:textId="77777777" w:rsidR="00E7255F" w:rsidRDefault="00E7255F" w:rsidP="00E7255F">
      <w:pPr>
        <w:pStyle w:val="BodyText"/>
        <w:spacing w:line="276" w:lineRule="auto"/>
        <w:jc w:val="both"/>
        <w:rPr>
          <w:color w:val="000000" w:themeColor="text1"/>
          <w:sz w:val="24"/>
          <w:szCs w:val="24"/>
        </w:rPr>
      </w:pPr>
      <w:r>
        <w:rPr>
          <w:color w:val="000000" w:themeColor="text1"/>
          <w:sz w:val="24"/>
          <w:szCs w:val="24"/>
        </w:rPr>
        <w:tab/>
      </w:r>
      <w:r w:rsidRPr="00CA61EF">
        <w:rPr>
          <w:b/>
          <w:bCs/>
          <w:color w:val="000000" w:themeColor="text1"/>
          <w:sz w:val="24"/>
          <w:szCs w:val="24"/>
        </w:rPr>
        <w:t>Personal:</w:t>
      </w:r>
      <w:r>
        <w:rPr>
          <w:color w:val="000000" w:themeColor="text1"/>
          <w:sz w:val="24"/>
          <w:szCs w:val="24"/>
        </w:rPr>
        <w:t xml:space="preserve"> </w:t>
      </w:r>
      <w:proofErr w:type="spellStart"/>
      <w:r>
        <w:rPr>
          <w:color w:val="000000" w:themeColor="text1"/>
          <w:sz w:val="24"/>
          <w:szCs w:val="24"/>
        </w:rPr>
        <w:t>Prestatorul</w:t>
      </w:r>
      <w:proofErr w:type="spellEnd"/>
      <w:r>
        <w:rPr>
          <w:color w:val="000000" w:themeColor="text1"/>
          <w:sz w:val="24"/>
          <w:szCs w:val="24"/>
        </w:rPr>
        <w:t xml:space="preserve"> </w:t>
      </w:r>
      <w:proofErr w:type="spellStart"/>
      <w:r>
        <w:rPr>
          <w:color w:val="000000" w:themeColor="text1"/>
          <w:sz w:val="24"/>
          <w:szCs w:val="24"/>
        </w:rPr>
        <w:t>va</w:t>
      </w:r>
      <w:proofErr w:type="spellEnd"/>
      <w:r>
        <w:rPr>
          <w:color w:val="000000" w:themeColor="text1"/>
          <w:sz w:val="24"/>
          <w:szCs w:val="24"/>
        </w:rPr>
        <w:t xml:space="preserve"> </w:t>
      </w:r>
      <w:proofErr w:type="spellStart"/>
      <w:r>
        <w:rPr>
          <w:color w:val="000000" w:themeColor="text1"/>
          <w:sz w:val="24"/>
          <w:szCs w:val="24"/>
        </w:rPr>
        <w:t>asigura</w:t>
      </w:r>
      <w:proofErr w:type="spellEnd"/>
      <w:r>
        <w:rPr>
          <w:color w:val="000000" w:themeColor="text1"/>
          <w:sz w:val="24"/>
          <w:szCs w:val="24"/>
        </w:rPr>
        <w:t xml:space="preserve"> </w:t>
      </w:r>
      <w:proofErr w:type="spellStart"/>
      <w:r>
        <w:rPr>
          <w:color w:val="000000" w:themeColor="text1"/>
          <w:sz w:val="24"/>
          <w:szCs w:val="24"/>
        </w:rPr>
        <w:t>personalul</w:t>
      </w:r>
      <w:proofErr w:type="spellEnd"/>
      <w:r>
        <w:rPr>
          <w:color w:val="000000" w:themeColor="text1"/>
          <w:sz w:val="24"/>
          <w:szCs w:val="24"/>
        </w:rPr>
        <w:t xml:space="preserve"> </w:t>
      </w:r>
      <w:proofErr w:type="spellStart"/>
      <w:r>
        <w:rPr>
          <w:color w:val="000000" w:themeColor="text1"/>
          <w:sz w:val="24"/>
          <w:szCs w:val="24"/>
        </w:rPr>
        <w:t>pentru</w:t>
      </w:r>
      <w:proofErr w:type="spellEnd"/>
      <w:r>
        <w:rPr>
          <w:color w:val="000000" w:themeColor="text1"/>
          <w:sz w:val="24"/>
          <w:szCs w:val="24"/>
        </w:rPr>
        <w:t xml:space="preserve"> </w:t>
      </w:r>
      <w:proofErr w:type="spellStart"/>
      <w:r>
        <w:rPr>
          <w:color w:val="000000" w:themeColor="text1"/>
          <w:sz w:val="24"/>
          <w:szCs w:val="24"/>
        </w:rPr>
        <w:t>montarea</w:t>
      </w:r>
      <w:proofErr w:type="spellEnd"/>
      <w:r>
        <w:rPr>
          <w:color w:val="000000" w:themeColor="text1"/>
          <w:sz w:val="24"/>
          <w:szCs w:val="24"/>
        </w:rPr>
        <w:t xml:space="preserve"> </w:t>
      </w:r>
      <w:proofErr w:type="spellStart"/>
      <w:r>
        <w:rPr>
          <w:color w:val="000000" w:themeColor="text1"/>
          <w:sz w:val="24"/>
          <w:szCs w:val="24"/>
        </w:rPr>
        <w:t>și</w:t>
      </w:r>
      <w:proofErr w:type="spellEnd"/>
      <w:r>
        <w:rPr>
          <w:color w:val="000000" w:themeColor="text1"/>
          <w:sz w:val="24"/>
          <w:szCs w:val="24"/>
        </w:rPr>
        <w:t xml:space="preserve"> </w:t>
      </w:r>
      <w:proofErr w:type="spellStart"/>
      <w:r>
        <w:rPr>
          <w:color w:val="000000" w:themeColor="text1"/>
          <w:sz w:val="24"/>
          <w:szCs w:val="24"/>
        </w:rPr>
        <w:t>punerea</w:t>
      </w:r>
      <w:proofErr w:type="spellEnd"/>
      <w:r>
        <w:rPr>
          <w:color w:val="000000" w:themeColor="text1"/>
          <w:sz w:val="24"/>
          <w:szCs w:val="24"/>
        </w:rPr>
        <w:t xml:space="preserve"> </w:t>
      </w:r>
      <w:proofErr w:type="spellStart"/>
      <w:r>
        <w:rPr>
          <w:color w:val="000000" w:themeColor="text1"/>
          <w:sz w:val="24"/>
          <w:szCs w:val="24"/>
        </w:rPr>
        <w:t>în</w:t>
      </w:r>
      <w:proofErr w:type="spellEnd"/>
      <w:r>
        <w:rPr>
          <w:color w:val="000000" w:themeColor="text1"/>
          <w:sz w:val="24"/>
          <w:szCs w:val="24"/>
        </w:rPr>
        <w:t xml:space="preserve"> </w:t>
      </w:r>
      <w:proofErr w:type="spellStart"/>
      <w:r>
        <w:rPr>
          <w:color w:val="000000" w:themeColor="text1"/>
          <w:sz w:val="24"/>
          <w:szCs w:val="24"/>
        </w:rPr>
        <w:t>funcțiune</w:t>
      </w:r>
      <w:proofErr w:type="spellEnd"/>
      <w:r>
        <w:rPr>
          <w:color w:val="000000" w:themeColor="text1"/>
          <w:sz w:val="24"/>
          <w:szCs w:val="24"/>
        </w:rPr>
        <w:t xml:space="preserve"> </w:t>
      </w:r>
      <w:proofErr w:type="gramStart"/>
      <w:r>
        <w:rPr>
          <w:color w:val="000000" w:themeColor="text1"/>
          <w:sz w:val="24"/>
          <w:szCs w:val="24"/>
        </w:rPr>
        <w:t>a</w:t>
      </w:r>
      <w:proofErr w:type="gramEnd"/>
      <w:r>
        <w:rPr>
          <w:color w:val="000000" w:themeColor="text1"/>
          <w:sz w:val="24"/>
          <w:szCs w:val="24"/>
        </w:rPr>
        <w:t xml:space="preserve"> </w:t>
      </w:r>
      <w:proofErr w:type="spellStart"/>
      <w:r>
        <w:rPr>
          <w:color w:val="000000" w:themeColor="text1"/>
          <w:sz w:val="24"/>
          <w:szCs w:val="24"/>
        </w:rPr>
        <w:t>echipamentelor</w:t>
      </w:r>
      <w:proofErr w:type="spellEnd"/>
      <w:r>
        <w:rPr>
          <w:color w:val="000000" w:themeColor="text1"/>
          <w:sz w:val="24"/>
          <w:szCs w:val="24"/>
        </w:rPr>
        <w:t>.</w:t>
      </w:r>
    </w:p>
    <w:p w14:paraId="264D6B8C" w14:textId="7A299696" w:rsidR="001D5A6E" w:rsidRDefault="001D5A6E" w:rsidP="00E7255F">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3B6B3A25"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682DBA">
        <w:rPr>
          <w:color w:val="000000" w:themeColor="text1"/>
          <w:sz w:val="24"/>
          <w:szCs w:val="24"/>
          <w:lang w:val="ro-RO"/>
        </w:rPr>
        <w:t>C</w:t>
      </w:r>
      <w:r w:rsidRPr="00334BCD">
        <w:rPr>
          <w:color w:val="000000" w:themeColor="text1"/>
          <w:sz w:val="24"/>
          <w:szCs w:val="24"/>
          <w:lang w:val="ro-RO"/>
        </w:rPr>
        <w:t xml:space="preserve"> pentru organizarea seriei de conferințe, dezbateri și workshop-uri în domeniul ingineriei </w:t>
      </w:r>
      <w:r>
        <w:rPr>
          <w:color w:val="000000" w:themeColor="text1"/>
          <w:sz w:val="24"/>
          <w:szCs w:val="24"/>
          <w:lang w:val="ro-RO"/>
        </w:rPr>
        <w:t>biotehnice,</w:t>
      </w:r>
      <w:r w:rsidRPr="00334BCD">
        <w:rPr>
          <w:color w:val="000000" w:themeColor="text1"/>
          <w:sz w:val="24"/>
          <w:szCs w:val="24"/>
          <w:lang w:val="ro-RO"/>
        </w:rPr>
        <w:t xml:space="preserve"> cu participarea studenților și a reprezentanților mediului preuniversitar.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10201" w:type="dxa"/>
        <w:tblLook w:val="04A0" w:firstRow="1" w:lastRow="0" w:firstColumn="1" w:lastColumn="0" w:noHBand="0" w:noVBand="1"/>
      </w:tblPr>
      <w:tblGrid>
        <w:gridCol w:w="909"/>
        <w:gridCol w:w="3622"/>
        <w:gridCol w:w="5670"/>
      </w:tblGrid>
      <w:tr w:rsidR="00972ACB" w14:paraId="24BBBCEB" w14:textId="77777777">
        <w:tc>
          <w:tcPr>
            <w:tcW w:w="909" w:type="dxa"/>
          </w:tcPr>
          <w:bookmarkEnd w:id="4"/>
          <w:p w14:paraId="4E42D284" w14:textId="77777777" w:rsidR="00972ACB" w:rsidRPr="00D57A21" w:rsidRDefault="00972ACB">
            <w:pPr>
              <w:pStyle w:val="BodyText"/>
              <w:spacing w:line="276" w:lineRule="auto"/>
              <w:jc w:val="center"/>
              <w:rPr>
                <w:b/>
                <w:bCs/>
                <w:color w:val="000000" w:themeColor="text1"/>
                <w:sz w:val="24"/>
                <w:szCs w:val="24"/>
              </w:rPr>
            </w:pPr>
            <w:r w:rsidRPr="00D57A21">
              <w:rPr>
                <w:b/>
                <w:bCs/>
                <w:color w:val="000000" w:themeColor="text1"/>
                <w:sz w:val="24"/>
                <w:szCs w:val="24"/>
              </w:rPr>
              <w:t>Nr.crt.</w:t>
            </w:r>
          </w:p>
        </w:tc>
        <w:tc>
          <w:tcPr>
            <w:tcW w:w="3622" w:type="dxa"/>
          </w:tcPr>
          <w:p w14:paraId="7492F7C7" w14:textId="77777777" w:rsidR="00972ACB" w:rsidRPr="00D57A21" w:rsidRDefault="00972ACB">
            <w:pPr>
              <w:pStyle w:val="BodyText"/>
              <w:spacing w:line="276" w:lineRule="auto"/>
              <w:jc w:val="center"/>
              <w:rPr>
                <w:b/>
                <w:bCs/>
                <w:color w:val="000000" w:themeColor="text1"/>
                <w:sz w:val="24"/>
                <w:szCs w:val="24"/>
              </w:rPr>
            </w:pPr>
            <w:r w:rsidRPr="00D57A21">
              <w:rPr>
                <w:b/>
                <w:bCs/>
                <w:color w:val="000000" w:themeColor="text1"/>
                <w:sz w:val="24"/>
                <w:szCs w:val="24"/>
              </w:rPr>
              <w:t>Servicii</w:t>
            </w:r>
          </w:p>
        </w:tc>
        <w:tc>
          <w:tcPr>
            <w:tcW w:w="5670" w:type="dxa"/>
          </w:tcPr>
          <w:p w14:paraId="453887BA" w14:textId="77777777" w:rsidR="00972ACB" w:rsidRPr="00D57A21" w:rsidRDefault="00972ACB">
            <w:pPr>
              <w:pStyle w:val="BodyText"/>
              <w:spacing w:line="276" w:lineRule="auto"/>
              <w:jc w:val="center"/>
              <w:rPr>
                <w:b/>
                <w:bCs/>
                <w:color w:val="000000" w:themeColor="text1"/>
                <w:sz w:val="24"/>
                <w:szCs w:val="24"/>
              </w:rPr>
            </w:pPr>
            <w:r w:rsidRPr="00D57A21">
              <w:rPr>
                <w:b/>
                <w:bCs/>
                <w:color w:val="000000" w:themeColor="text1"/>
                <w:sz w:val="24"/>
                <w:szCs w:val="24"/>
              </w:rPr>
              <w:t>Descriere</w:t>
            </w:r>
          </w:p>
        </w:tc>
      </w:tr>
      <w:tr w:rsidR="00972ACB" w14:paraId="597F1CF4" w14:textId="77777777">
        <w:tc>
          <w:tcPr>
            <w:tcW w:w="909" w:type="dxa"/>
          </w:tcPr>
          <w:p w14:paraId="514B4EC0" w14:textId="77777777" w:rsidR="00972ACB" w:rsidRPr="00D57A21" w:rsidRDefault="00972ACB">
            <w:pPr>
              <w:pStyle w:val="BodyText"/>
              <w:spacing w:line="276" w:lineRule="auto"/>
              <w:ind w:left="491"/>
              <w:jc w:val="both"/>
              <w:rPr>
                <w:color w:val="000000" w:themeColor="text1"/>
                <w:sz w:val="24"/>
                <w:szCs w:val="24"/>
              </w:rPr>
            </w:pPr>
            <w:r w:rsidRPr="00D57A21">
              <w:rPr>
                <w:color w:val="000000" w:themeColor="text1"/>
                <w:sz w:val="24"/>
                <w:szCs w:val="24"/>
              </w:rPr>
              <w:t>1.</w:t>
            </w:r>
          </w:p>
        </w:tc>
        <w:tc>
          <w:tcPr>
            <w:tcW w:w="3622" w:type="dxa"/>
          </w:tcPr>
          <w:p w14:paraId="5118EB40" w14:textId="77777777" w:rsidR="00972ACB" w:rsidRPr="00D57A21" w:rsidRDefault="00972ACB">
            <w:pPr>
              <w:pStyle w:val="BodyText"/>
              <w:spacing w:line="276" w:lineRule="auto"/>
              <w:jc w:val="both"/>
              <w:rPr>
                <w:color w:val="000000" w:themeColor="text1"/>
                <w:sz w:val="24"/>
                <w:szCs w:val="24"/>
              </w:rPr>
            </w:pPr>
            <w:r w:rsidRPr="00D57A21">
              <w:rPr>
                <w:sz w:val="24"/>
                <w:szCs w:val="24"/>
              </w:rPr>
              <w:t>Licență platformă videoconferință online cu următoarele specificații</w:t>
            </w:r>
          </w:p>
        </w:tc>
        <w:tc>
          <w:tcPr>
            <w:tcW w:w="5670" w:type="dxa"/>
          </w:tcPr>
          <w:p w14:paraId="4405C560" w14:textId="77777777" w:rsidR="00972ACB" w:rsidRPr="00D57A21" w:rsidRDefault="00972ACB">
            <w:pPr>
              <w:pStyle w:val="ListParagraph"/>
              <w:widowControl/>
              <w:numPr>
                <w:ilvl w:val="0"/>
                <w:numId w:val="12"/>
              </w:numPr>
              <w:autoSpaceDE/>
              <w:autoSpaceDN/>
              <w:contextualSpacing/>
              <w:rPr>
                <w:sz w:val="24"/>
                <w:szCs w:val="24"/>
                <w:lang w:bidi="ar-SA"/>
              </w:rPr>
            </w:pPr>
            <w:r w:rsidRPr="00D57A21">
              <w:rPr>
                <w:sz w:val="24"/>
                <w:szCs w:val="24"/>
              </w:rPr>
              <w:t xml:space="preserve">Opțiune 100 host (gazde) cu posibilitate de partajare </w:t>
            </w:r>
            <w:proofErr w:type="gramStart"/>
            <w:r w:rsidRPr="00D57A21">
              <w:rPr>
                <w:sz w:val="24"/>
                <w:szCs w:val="24"/>
              </w:rPr>
              <w:t>ecran</w:t>
            </w:r>
            <w:r>
              <w:rPr>
                <w:sz w:val="24"/>
                <w:szCs w:val="24"/>
              </w:rPr>
              <w:t>;</w:t>
            </w:r>
            <w:proofErr w:type="gramEnd"/>
          </w:p>
          <w:p w14:paraId="2C71C686" w14:textId="41BE29F4" w:rsidR="00972ACB" w:rsidRPr="00D57A21" w:rsidRDefault="0088215D">
            <w:pPr>
              <w:pStyle w:val="ListParagraph"/>
              <w:widowControl/>
              <w:numPr>
                <w:ilvl w:val="0"/>
                <w:numId w:val="12"/>
              </w:numPr>
              <w:autoSpaceDE/>
              <w:autoSpaceDN/>
              <w:contextualSpacing/>
              <w:rPr>
                <w:sz w:val="24"/>
                <w:szCs w:val="24"/>
              </w:rPr>
            </w:pPr>
            <w:r>
              <w:rPr>
                <w:sz w:val="24"/>
                <w:szCs w:val="24"/>
              </w:rPr>
              <w:t>3</w:t>
            </w:r>
            <w:r w:rsidR="00972ACB">
              <w:rPr>
                <w:sz w:val="24"/>
                <w:szCs w:val="24"/>
              </w:rPr>
              <w:t>00</w:t>
            </w:r>
            <w:r w:rsidR="00972ACB" w:rsidRPr="00D57A21">
              <w:rPr>
                <w:sz w:val="24"/>
                <w:szCs w:val="24"/>
              </w:rPr>
              <w:t xml:space="preserve"> de </w:t>
            </w:r>
            <w:proofErr w:type="spellStart"/>
            <w:r w:rsidR="00972ACB" w:rsidRPr="00D57A21">
              <w:rPr>
                <w:sz w:val="24"/>
                <w:szCs w:val="24"/>
              </w:rPr>
              <w:t>participanți</w:t>
            </w:r>
            <w:proofErr w:type="spellEnd"/>
            <w:r w:rsidR="00972ACB" w:rsidRPr="00D57A21">
              <w:rPr>
                <w:sz w:val="24"/>
                <w:szCs w:val="24"/>
              </w:rPr>
              <w:t xml:space="preserve"> </w:t>
            </w:r>
            <w:proofErr w:type="spellStart"/>
            <w:proofErr w:type="gramStart"/>
            <w:r w:rsidR="00972ACB" w:rsidRPr="00D57A21">
              <w:rPr>
                <w:sz w:val="24"/>
                <w:szCs w:val="24"/>
              </w:rPr>
              <w:t>simultan</w:t>
            </w:r>
            <w:proofErr w:type="spellEnd"/>
            <w:r w:rsidR="00972ACB">
              <w:rPr>
                <w:sz w:val="24"/>
                <w:szCs w:val="24"/>
              </w:rPr>
              <w:t>;</w:t>
            </w:r>
            <w:proofErr w:type="gramEnd"/>
          </w:p>
          <w:p w14:paraId="23D9C392"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Opțiune camere de lucru cu minim</w:t>
            </w:r>
            <w:r>
              <w:rPr>
                <w:sz w:val="24"/>
                <w:szCs w:val="24"/>
              </w:rPr>
              <w:t>um</w:t>
            </w:r>
            <w:r w:rsidRPr="00D57A21">
              <w:rPr>
                <w:sz w:val="24"/>
                <w:szCs w:val="24"/>
              </w:rPr>
              <w:t xml:space="preserve"> </w:t>
            </w:r>
            <w:r>
              <w:rPr>
                <w:sz w:val="24"/>
                <w:szCs w:val="24"/>
              </w:rPr>
              <w:t>50</w:t>
            </w:r>
            <w:r w:rsidRPr="00D57A21">
              <w:rPr>
                <w:sz w:val="24"/>
                <w:szCs w:val="24"/>
              </w:rPr>
              <w:t xml:space="preserve"> de participanți, minim</w:t>
            </w:r>
            <w:r>
              <w:rPr>
                <w:sz w:val="24"/>
                <w:szCs w:val="24"/>
              </w:rPr>
              <w:t>um</w:t>
            </w:r>
            <w:r w:rsidRPr="00D57A21">
              <w:rPr>
                <w:sz w:val="24"/>
                <w:szCs w:val="24"/>
              </w:rPr>
              <w:t xml:space="preserve"> </w:t>
            </w:r>
            <w:r>
              <w:rPr>
                <w:sz w:val="24"/>
                <w:szCs w:val="24"/>
              </w:rPr>
              <w:t>10</w:t>
            </w:r>
            <w:r w:rsidRPr="00D57A21">
              <w:rPr>
                <w:sz w:val="24"/>
                <w:szCs w:val="24"/>
              </w:rPr>
              <w:t xml:space="preserve"> </w:t>
            </w:r>
            <w:proofErr w:type="gramStart"/>
            <w:r w:rsidRPr="00D57A21">
              <w:rPr>
                <w:sz w:val="24"/>
                <w:szCs w:val="24"/>
              </w:rPr>
              <w:t>camere</w:t>
            </w:r>
            <w:r>
              <w:rPr>
                <w:sz w:val="24"/>
                <w:szCs w:val="24"/>
              </w:rPr>
              <w:t>;</w:t>
            </w:r>
            <w:proofErr w:type="gramEnd"/>
          </w:p>
          <w:p w14:paraId="7430770D"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Posibilitate retransmisie pe rețele sociale (facebook, youtube, twitch</w:t>
            </w:r>
            <w:proofErr w:type="gramStart"/>
            <w:r w:rsidRPr="00D57A21">
              <w:rPr>
                <w:sz w:val="24"/>
                <w:szCs w:val="24"/>
              </w:rPr>
              <w:t>)</w:t>
            </w:r>
            <w:r>
              <w:rPr>
                <w:sz w:val="24"/>
                <w:szCs w:val="24"/>
              </w:rPr>
              <w:t>;</w:t>
            </w:r>
            <w:proofErr w:type="gramEnd"/>
          </w:p>
          <w:p w14:paraId="025424B6"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 xml:space="preserve">Posibilitate înregistrare in cloud minim 10 gb, format </w:t>
            </w:r>
            <w:proofErr w:type="gramStart"/>
            <w:r w:rsidRPr="00D57A21">
              <w:rPr>
                <w:sz w:val="24"/>
                <w:szCs w:val="24"/>
              </w:rPr>
              <w:t>MP4</w:t>
            </w:r>
            <w:r>
              <w:rPr>
                <w:sz w:val="24"/>
                <w:szCs w:val="24"/>
              </w:rPr>
              <w:t>;</w:t>
            </w:r>
            <w:proofErr w:type="gramEnd"/>
          </w:p>
          <w:p w14:paraId="71111EAD"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 xml:space="preserve">Pagină personalizată cu branding </w:t>
            </w:r>
            <w:proofErr w:type="gramStart"/>
            <w:r w:rsidRPr="00D57A21">
              <w:rPr>
                <w:sz w:val="24"/>
                <w:szCs w:val="24"/>
              </w:rPr>
              <w:t>personalizat</w:t>
            </w:r>
            <w:r>
              <w:rPr>
                <w:sz w:val="24"/>
                <w:szCs w:val="24"/>
              </w:rPr>
              <w:t>;</w:t>
            </w:r>
            <w:proofErr w:type="gramEnd"/>
          </w:p>
          <w:p w14:paraId="38D2B468"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 xml:space="preserve">Opțiune Chat personalizat și mesaje </w:t>
            </w:r>
            <w:proofErr w:type="gramStart"/>
            <w:r w:rsidRPr="00D57A21">
              <w:rPr>
                <w:sz w:val="24"/>
                <w:szCs w:val="24"/>
              </w:rPr>
              <w:t>direcționate</w:t>
            </w:r>
            <w:r>
              <w:rPr>
                <w:sz w:val="24"/>
                <w:szCs w:val="24"/>
              </w:rPr>
              <w:t>;</w:t>
            </w:r>
            <w:proofErr w:type="gramEnd"/>
          </w:p>
          <w:p w14:paraId="065FD75F"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Opțiune de acces de pe telefon mobil</w:t>
            </w:r>
            <w:r>
              <w:rPr>
                <w:sz w:val="24"/>
                <w:szCs w:val="24"/>
              </w:rPr>
              <w:t xml:space="preserve">, </w:t>
            </w:r>
            <w:r w:rsidRPr="00D57A21">
              <w:rPr>
                <w:sz w:val="24"/>
                <w:szCs w:val="24"/>
              </w:rPr>
              <w:t xml:space="preserve">platforme iOS </w:t>
            </w:r>
            <w:r>
              <w:rPr>
                <w:sz w:val="24"/>
                <w:szCs w:val="24"/>
              </w:rPr>
              <w:t>ș</w:t>
            </w:r>
            <w:r w:rsidRPr="00D57A21">
              <w:rPr>
                <w:sz w:val="24"/>
                <w:szCs w:val="24"/>
              </w:rPr>
              <w:t xml:space="preserve">i </w:t>
            </w:r>
            <w:proofErr w:type="gramStart"/>
            <w:r w:rsidRPr="00D57A21">
              <w:rPr>
                <w:sz w:val="24"/>
                <w:szCs w:val="24"/>
              </w:rPr>
              <w:t>Android</w:t>
            </w:r>
            <w:r>
              <w:rPr>
                <w:sz w:val="24"/>
                <w:szCs w:val="24"/>
              </w:rPr>
              <w:t>;</w:t>
            </w:r>
            <w:proofErr w:type="gramEnd"/>
          </w:p>
          <w:p w14:paraId="25D605F8"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 xml:space="preserve">Acces </w:t>
            </w:r>
            <w:proofErr w:type="gramStart"/>
            <w:r w:rsidRPr="00D57A21">
              <w:rPr>
                <w:sz w:val="24"/>
                <w:szCs w:val="24"/>
              </w:rPr>
              <w:t>securizat</w:t>
            </w:r>
            <w:r>
              <w:rPr>
                <w:sz w:val="24"/>
                <w:szCs w:val="24"/>
              </w:rPr>
              <w:t>;</w:t>
            </w:r>
            <w:proofErr w:type="gramEnd"/>
          </w:p>
          <w:p w14:paraId="1EAFC640"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Posibilitate de traducere în timp real</w:t>
            </w:r>
            <w:r>
              <w:rPr>
                <w:sz w:val="24"/>
                <w:szCs w:val="24"/>
              </w:rPr>
              <w:t>.</w:t>
            </w:r>
          </w:p>
          <w:p w14:paraId="58553FD8" w14:textId="77777777" w:rsidR="00972ACB" w:rsidRPr="00D57A21" w:rsidRDefault="00972ACB">
            <w:pPr>
              <w:pStyle w:val="BodyText"/>
              <w:spacing w:line="276" w:lineRule="auto"/>
              <w:jc w:val="both"/>
              <w:rPr>
                <w:color w:val="000000" w:themeColor="text1"/>
                <w:sz w:val="24"/>
                <w:szCs w:val="24"/>
              </w:rPr>
            </w:pPr>
          </w:p>
        </w:tc>
      </w:tr>
      <w:tr w:rsidR="00972ACB" w14:paraId="7681158B" w14:textId="77777777">
        <w:tc>
          <w:tcPr>
            <w:tcW w:w="909" w:type="dxa"/>
          </w:tcPr>
          <w:p w14:paraId="7C86B486" w14:textId="77777777" w:rsidR="00972ACB" w:rsidRPr="00D57A21" w:rsidRDefault="00972ACB">
            <w:pPr>
              <w:pStyle w:val="BodyText"/>
              <w:spacing w:line="276" w:lineRule="auto"/>
              <w:ind w:left="491"/>
              <w:jc w:val="both"/>
              <w:rPr>
                <w:color w:val="000000" w:themeColor="text1"/>
                <w:sz w:val="24"/>
                <w:szCs w:val="24"/>
              </w:rPr>
            </w:pPr>
            <w:r w:rsidRPr="00D57A21">
              <w:rPr>
                <w:color w:val="000000" w:themeColor="text1"/>
                <w:sz w:val="24"/>
                <w:szCs w:val="24"/>
              </w:rPr>
              <w:lastRenderedPageBreak/>
              <w:t>2.</w:t>
            </w:r>
          </w:p>
        </w:tc>
        <w:tc>
          <w:tcPr>
            <w:tcW w:w="3622" w:type="dxa"/>
          </w:tcPr>
          <w:p w14:paraId="56C86A7F" w14:textId="77777777" w:rsidR="00972ACB" w:rsidRPr="00D57A21" w:rsidRDefault="00972ACB">
            <w:pPr>
              <w:pStyle w:val="BodyText"/>
              <w:spacing w:line="276" w:lineRule="auto"/>
              <w:jc w:val="both"/>
              <w:rPr>
                <w:sz w:val="24"/>
                <w:szCs w:val="24"/>
              </w:rPr>
            </w:pPr>
            <w:r>
              <w:rPr>
                <w:sz w:val="24"/>
                <w:szCs w:val="24"/>
              </w:rPr>
              <w:t>Construcție și amenajare studio mobil</w:t>
            </w:r>
          </w:p>
        </w:tc>
        <w:tc>
          <w:tcPr>
            <w:tcW w:w="5670" w:type="dxa"/>
          </w:tcPr>
          <w:p w14:paraId="61AA60AD" w14:textId="77777777" w:rsidR="00972ACB" w:rsidRDefault="00972ACB">
            <w:pPr>
              <w:pStyle w:val="ListParagraph"/>
              <w:widowControl/>
              <w:numPr>
                <w:ilvl w:val="0"/>
                <w:numId w:val="12"/>
              </w:numPr>
              <w:autoSpaceDE/>
              <w:autoSpaceDN/>
              <w:contextualSpacing/>
              <w:rPr>
                <w:sz w:val="24"/>
                <w:szCs w:val="24"/>
              </w:rPr>
            </w:pPr>
            <w:r w:rsidRPr="00D57A21">
              <w:rPr>
                <w:sz w:val="24"/>
                <w:szCs w:val="24"/>
              </w:rPr>
              <w:t xml:space="preserve">Structură de schela modulara pentru agațare fundal și lumini </w:t>
            </w:r>
            <w:proofErr w:type="gramStart"/>
            <w:r w:rsidRPr="00D57A21">
              <w:rPr>
                <w:sz w:val="24"/>
                <w:szCs w:val="24"/>
              </w:rPr>
              <w:t>compusă</w:t>
            </w:r>
            <w:r>
              <w:rPr>
                <w:sz w:val="24"/>
                <w:szCs w:val="24"/>
              </w:rPr>
              <w:t>;</w:t>
            </w:r>
            <w:proofErr w:type="gramEnd"/>
          </w:p>
          <w:p w14:paraId="604BC52E" w14:textId="77777777" w:rsidR="00972ACB" w:rsidRPr="00D57A21" w:rsidRDefault="00972ACB">
            <w:pPr>
              <w:pStyle w:val="ListParagraph"/>
              <w:widowControl/>
              <w:numPr>
                <w:ilvl w:val="0"/>
                <w:numId w:val="12"/>
              </w:numPr>
              <w:autoSpaceDE/>
              <w:autoSpaceDN/>
              <w:contextualSpacing/>
              <w:rPr>
                <w:sz w:val="24"/>
                <w:szCs w:val="24"/>
              </w:rPr>
            </w:pPr>
            <w:r w:rsidRPr="00D57A21">
              <w:rPr>
                <w:sz w:val="24"/>
                <w:szCs w:val="24"/>
              </w:rPr>
              <w:t xml:space="preserve">Fundal verde pentru chroma </w:t>
            </w:r>
            <w:proofErr w:type="gramStart"/>
            <w:r w:rsidRPr="00D57A21">
              <w:rPr>
                <w:sz w:val="24"/>
                <w:szCs w:val="24"/>
              </w:rPr>
              <w:t>key</w:t>
            </w:r>
            <w:r>
              <w:rPr>
                <w:sz w:val="24"/>
                <w:szCs w:val="24"/>
              </w:rPr>
              <w:t>;</w:t>
            </w:r>
            <w:proofErr w:type="gramEnd"/>
          </w:p>
          <w:p w14:paraId="55D86AF9" w14:textId="77777777" w:rsidR="00972ACB" w:rsidRPr="00053FD8" w:rsidRDefault="00972ACB">
            <w:pPr>
              <w:pStyle w:val="ListParagraph"/>
              <w:widowControl/>
              <w:numPr>
                <w:ilvl w:val="0"/>
                <w:numId w:val="12"/>
              </w:numPr>
              <w:autoSpaceDE/>
              <w:autoSpaceDN/>
              <w:contextualSpacing/>
              <w:rPr>
                <w:sz w:val="24"/>
                <w:szCs w:val="24"/>
              </w:rPr>
            </w:pPr>
            <w:r w:rsidRPr="00053FD8">
              <w:rPr>
                <w:sz w:val="24"/>
                <w:szCs w:val="24"/>
              </w:rPr>
              <w:t xml:space="preserve">Panouri modulare </w:t>
            </w:r>
            <w:proofErr w:type="gramStart"/>
            <w:r w:rsidRPr="00053FD8">
              <w:rPr>
                <w:sz w:val="24"/>
                <w:szCs w:val="24"/>
              </w:rPr>
              <w:t>fonoizolante</w:t>
            </w:r>
            <w:r>
              <w:rPr>
                <w:sz w:val="24"/>
                <w:szCs w:val="24"/>
              </w:rPr>
              <w:t>;</w:t>
            </w:r>
            <w:proofErr w:type="gramEnd"/>
          </w:p>
          <w:p w14:paraId="6A8CB68F" w14:textId="77777777" w:rsidR="00972ACB" w:rsidRPr="00053FD8" w:rsidRDefault="00972ACB">
            <w:pPr>
              <w:pStyle w:val="ListParagraph"/>
              <w:widowControl/>
              <w:numPr>
                <w:ilvl w:val="0"/>
                <w:numId w:val="12"/>
              </w:numPr>
              <w:autoSpaceDE/>
              <w:autoSpaceDN/>
              <w:contextualSpacing/>
              <w:rPr>
                <w:sz w:val="24"/>
                <w:szCs w:val="24"/>
              </w:rPr>
            </w:pPr>
            <w:r w:rsidRPr="00053FD8">
              <w:rPr>
                <w:sz w:val="24"/>
                <w:szCs w:val="24"/>
              </w:rPr>
              <w:t xml:space="preserve">Podea PVC green antireflex pentru chroma </w:t>
            </w:r>
            <w:proofErr w:type="gramStart"/>
            <w:r w:rsidRPr="00053FD8">
              <w:rPr>
                <w:sz w:val="24"/>
                <w:szCs w:val="24"/>
              </w:rPr>
              <w:t>key</w:t>
            </w:r>
            <w:r>
              <w:rPr>
                <w:sz w:val="24"/>
                <w:szCs w:val="24"/>
              </w:rPr>
              <w:t>;</w:t>
            </w:r>
            <w:proofErr w:type="gramEnd"/>
          </w:p>
          <w:p w14:paraId="33447F91" w14:textId="77777777" w:rsidR="00972ACB" w:rsidRPr="00053FD8" w:rsidRDefault="00972ACB">
            <w:pPr>
              <w:pStyle w:val="ListParagraph"/>
              <w:widowControl/>
              <w:numPr>
                <w:ilvl w:val="0"/>
                <w:numId w:val="12"/>
              </w:numPr>
              <w:autoSpaceDE/>
              <w:autoSpaceDN/>
              <w:contextualSpacing/>
              <w:rPr>
                <w:sz w:val="24"/>
                <w:szCs w:val="24"/>
              </w:rPr>
            </w:pPr>
            <w:r w:rsidRPr="00053FD8">
              <w:rPr>
                <w:sz w:val="24"/>
                <w:szCs w:val="24"/>
              </w:rPr>
              <w:t xml:space="preserve">Proiectoare de lumini cu led controlabile </w:t>
            </w:r>
            <w:proofErr w:type="gramStart"/>
            <w:r w:rsidRPr="00053FD8">
              <w:rPr>
                <w:sz w:val="24"/>
                <w:szCs w:val="24"/>
              </w:rPr>
              <w:t>DMX</w:t>
            </w:r>
            <w:r>
              <w:rPr>
                <w:sz w:val="24"/>
                <w:szCs w:val="24"/>
              </w:rPr>
              <w:t>;</w:t>
            </w:r>
            <w:proofErr w:type="gramEnd"/>
            <w:r w:rsidRPr="00053FD8">
              <w:rPr>
                <w:sz w:val="24"/>
                <w:szCs w:val="24"/>
              </w:rPr>
              <w:t xml:space="preserve"> </w:t>
            </w:r>
          </w:p>
          <w:p w14:paraId="65DE9B91" w14:textId="77777777" w:rsidR="00972ACB" w:rsidRPr="00053FD8" w:rsidRDefault="00972ACB">
            <w:pPr>
              <w:pStyle w:val="ListParagraph"/>
              <w:widowControl/>
              <w:numPr>
                <w:ilvl w:val="0"/>
                <w:numId w:val="12"/>
              </w:numPr>
              <w:autoSpaceDE/>
              <w:autoSpaceDN/>
              <w:contextualSpacing/>
              <w:rPr>
                <w:sz w:val="24"/>
                <w:szCs w:val="24"/>
              </w:rPr>
            </w:pPr>
            <w:r w:rsidRPr="00053FD8">
              <w:rPr>
                <w:sz w:val="24"/>
                <w:szCs w:val="24"/>
              </w:rPr>
              <w:t xml:space="preserve">Controller de lumini de </w:t>
            </w:r>
            <w:proofErr w:type="gramStart"/>
            <w:r w:rsidRPr="00053FD8">
              <w:rPr>
                <w:sz w:val="24"/>
                <w:szCs w:val="24"/>
              </w:rPr>
              <w:t xml:space="preserve">studio </w:t>
            </w:r>
            <w:r>
              <w:rPr>
                <w:sz w:val="24"/>
                <w:szCs w:val="24"/>
              </w:rPr>
              <w:t>;</w:t>
            </w:r>
            <w:proofErr w:type="gramEnd"/>
          </w:p>
          <w:p w14:paraId="2802E4DE" w14:textId="77777777" w:rsidR="00972ACB" w:rsidRPr="00053FD8" w:rsidRDefault="00972ACB">
            <w:pPr>
              <w:pStyle w:val="ListParagraph"/>
              <w:widowControl/>
              <w:numPr>
                <w:ilvl w:val="0"/>
                <w:numId w:val="12"/>
              </w:numPr>
              <w:autoSpaceDE/>
              <w:autoSpaceDN/>
              <w:contextualSpacing/>
              <w:rPr>
                <w:sz w:val="24"/>
                <w:szCs w:val="24"/>
              </w:rPr>
            </w:pPr>
            <w:r w:rsidRPr="00053FD8">
              <w:rPr>
                <w:sz w:val="24"/>
                <w:szCs w:val="24"/>
              </w:rPr>
              <w:t>Distributie de curent 380V / 63</w:t>
            </w:r>
            <w:proofErr w:type="gramStart"/>
            <w:r w:rsidRPr="00053FD8">
              <w:rPr>
                <w:sz w:val="24"/>
                <w:szCs w:val="24"/>
              </w:rPr>
              <w:t xml:space="preserve">A </w:t>
            </w:r>
            <w:r>
              <w:rPr>
                <w:sz w:val="24"/>
                <w:szCs w:val="24"/>
              </w:rPr>
              <w:t>.</w:t>
            </w:r>
            <w:proofErr w:type="gramEnd"/>
          </w:p>
          <w:p w14:paraId="1212CE4D" w14:textId="77777777" w:rsidR="00972ACB" w:rsidRPr="00677857" w:rsidRDefault="00972ACB">
            <w:pPr>
              <w:pStyle w:val="ListParagraph"/>
              <w:widowControl/>
              <w:autoSpaceDE/>
              <w:autoSpaceDN/>
              <w:ind w:left="720"/>
              <w:contextualSpacing/>
              <w:rPr>
                <w:sz w:val="24"/>
                <w:szCs w:val="24"/>
              </w:rPr>
            </w:pPr>
          </w:p>
        </w:tc>
      </w:tr>
      <w:tr w:rsidR="00972ACB" w14:paraId="3F0FA3A0" w14:textId="77777777">
        <w:tc>
          <w:tcPr>
            <w:tcW w:w="909" w:type="dxa"/>
          </w:tcPr>
          <w:p w14:paraId="512470D4" w14:textId="77777777" w:rsidR="00972ACB" w:rsidRPr="00D57A21" w:rsidRDefault="00972ACB">
            <w:pPr>
              <w:pStyle w:val="BodyText"/>
              <w:spacing w:line="276" w:lineRule="auto"/>
              <w:ind w:left="491"/>
              <w:jc w:val="both"/>
              <w:rPr>
                <w:color w:val="000000" w:themeColor="text1"/>
                <w:sz w:val="24"/>
                <w:szCs w:val="24"/>
              </w:rPr>
            </w:pPr>
            <w:r w:rsidRPr="00D57A21">
              <w:rPr>
                <w:color w:val="000000" w:themeColor="text1"/>
                <w:sz w:val="24"/>
                <w:szCs w:val="24"/>
              </w:rPr>
              <w:t>3.</w:t>
            </w:r>
          </w:p>
        </w:tc>
        <w:tc>
          <w:tcPr>
            <w:tcW w:w="3622" w:type="dxa"/>
          </w:tcPr>
          <w:p w14:paraId="7E094E40" w14:textId="77777777" w:rsidR="00972ACB" w:rsidRPr="00D57A21" w:rsidRDefault="00972ACB">
            <w:pPr>
              <w:pStyle w:val="BodyText"/>
              <w:spacing w:line="276" w:lineRule="auto"/>
              <w:jc w:val="both"/>
              <w:rPr>
                <w:sz w:val="24"/>
                <w:szCs w:val="24"/>
              </w:rPr>
            </w:pPr>
            <w:r w:rsidRPr="00D57A21">
              <w:rPr>
                <w:sz w:val="24"/>
                <w:szCs w:val="24"/>
                <w:lang w:val="ro-RO"/>
              </w:rPr>
              <w:t>Regie video</w:t>
            </w:r>
            <w:r>
              <w:rPr>
                <w:sz w:val="24"/>
                <w:szCs w:val="24"/>
                <w:lang w:val="ro-RO"/>
              </w:rPr>
              <w:t xml:space="preserve"> </w:t>
            </w:r>
            <w:r w:rsidRPr="00D57A21">
              <w:rPr>
                <w:sz w:val="24"/>
                <w:szCs w:val="24"/>
                <w:lang w:val="ro-RO"/>
              </w:rPr>
              <w:t>multicamer</w:t>
            </w:r>
            <w:r>
              <w:rPr>
                <w:sz w:val="24"/>
                <w:szCs w:val="24"/>
                <w:lang w:val="ro-RO"/>
              </w:rPr>
              <w:t>a</w:t>
            </w:r>
            <w:r w:rsidRPr="00D57A21">
              <w:rPr>
                <w:sz w:val="24"/>
                <w:szCs w:val="24"/>
                <w:lang w:val="ro-RO"/>
              </w:rPr>
              <w:t xml:space="preserve"> cu următoarele specificații</w:t>
            </w:r>
          </w:p>
        </w:tc>
        <w:tc>
          <w:tcPr>
            <w:tcW w:w="5670" w:type="dxa"/>
          </w:tcPr>
          <w:p w14:paraId="460BFA44" w14:textId="77777777" w:rsidR="00972ACB" w:rsidRPr="00D57A21" w:rsidRDefault="00972ACB">
            <w:pPr>
              <w:pStyle w:val="ListParagraph"/>
              <w:widowControl/>
              <w:numPr>
                <w:ilvl w:val="0"/>
                <w:numId w:val="12"/>
              </w:numPr>
              <w:autoSpaceDE/>
              <w:autoSpaceDN/>
              <w:contextualSpacing/>
              <w:rPr>
                <w:sz w:val="24"/>
                <w:szCs w:val="24"/>
                <w:lang w:val="ro-RO" w:bidi="ar-SA"/>
              </w:rPr>
            </w:pPr>
            <w:r w:rsidRPr="00D57A21">
              <w:rPr>
                <w:sz w:val="24"/>
                <w:szCs w:val="24"/>
                <w:lang w:val="ro-RO"/>
              </w:rPr>
              <w:t>Mixer video minim 8 intrări 4k cu conexiuni HDMI, 12G SDI, 3G SDI, DVI, DP și minim 4 ieșiri 4k HDMI si SDI. Posibilitate de preview multicamera</w:t>
            </w:r>
            <w:r>
              <w:rPr>
                <w:sz w:val="24"/>
                <w:szCs w:val="24"/>
                <w:lang w:val="ro-RO"/>
              </w:rPr>
              <w:t>;</w:t>
            </w:r>
          </w:p>
          <w:p w14:paraId="548CD6D9"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4 Camera sincronizer</w:t>
            </w:r>
            <w:r>
              <w:rPr>
                <w:sz w:val="24"/>
                <w:szCs w:val="24"/>
                <w:lang w:val="ro-RO"/>
              </w:rPr>
              <w:t>;</w:t>
            </w:r>
          </w:p>
          <w:p w14:paraId="3A1B1BFF"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Monitor LCD pentru preview multicamera dimensiune minima 130”, conexiune HDMI, rezoluție UHD</w:t>
            </w:r>
            <w:r>
              <w:rPr>
                <w:sz w:val="24"/>
                <w:szCs w:val="24"/>
                <w:lang w:val="ro-RO"/>
              </w:rPr>
              <w:t>;</w:t>
            </w:r>
          </w:p>
          <w:p w14:paraId="3D0DE552"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 xml:space="preserve">Sistem down/up conversion </w:t>
            </w:r>
            <w:r>
              <w:rPr>
                <w:sz w:val="24"/>
                <w:szCs w:val="24"/>
                <w:lang w:val="ro-RO"/>
              </w:rPr>
              <w:t>;</w:t>
            </w:r>
          </w:p>
          <w:p w14:paraId="592352E7"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1 Player 4k</w:t>
            </w:r>
            <w:r>
              <w:rPr>
                <w:sz w:val="24"/>
                <w:szCs w:val="24"/>
                <w:lang w:val="ro-RO"/>
              </w:rPr>
              <w:t>;</w:t>
            </w:r>
          </w:p>
          <w:p w14:paraId="3B305923"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Stație grafică pentru creare fundaluri grafice animate în timp real și pentru dispunere logo-uri și burtiere în timp real</w:t>
            </w:r>
            <w:r>
              <w:rPr>
                <w:sz w:val="24"/>
                <w:szCs w:val="24"/>
                <w:lang w:val="ro-RO"/>
              </w:rPr>
              <w:t>;</w:t>
            </w:r>
          </w:p>
          <w:p w14:paraId="48D858CC"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Server de streaming cu posibilitate multistream pe minim 4 platforme, placă de captură video și placă audio minim 4in/4out</w:t>
            </w:r>
            <w:r>
              <w:rPr>
                <w:sz w:val="24"/>
                <w:szCs w:val="24"/>
                <w:lang w:val="ro-RO"/>
              </w:rPr>
              <w:t>;</w:t>
            </w:r>
          </w:p>
          <w:p w14:paraId="2ED37615"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Sistem de înregistrare pe suport hardware</w:t>
            </w:r>
            <w:r>
              <w:rPr>
                <w:sz w:val="24"/>
                <w:szCs w:val="24"/>
                <w:lang w:val="ro-RO"/>
              </w:rPr>
              <w:t>;</w:t>
            </w:r>
          </w:p>
          <w:p w14:paraId="0165D3A8"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Mixer de sunet digital cu minim 12 canale</w:t>
            </w:r>
            <w:r>
              <w:rPr>
                <w:sz w:val="24"/>
                <w:szCs w:val="24"/>
                <w:lang w:val="ro-RO"/>
              </w:rPr>
              <w:t>;</w:t>
            </w:r>
          </w:p>
          <w:p w14:paraId="3A758735"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Feedback destroyer</w:t>
            </w:r>
            <w:r>
              <w:rPr>
                <w:sz w:val="24"/>
                <w:szCs w:val="24"/>
                <w:lang w:val="ro-RO"/>
              </w:rPr>
              <w:t>;</w:t>
            </w:r>
          </w:p>
          <w:p w14:paraId="49D0D86B"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4 Lavaliere wireless frecvența 600-650mhz</w:t>
            </w:r>
            <w:r>
              <w:rPr>
                <w:sz w:val="24"/>
                <w:szCs w:val="24"/>
                <w:lang w:val="ro-RO"/>
              </w:rPr>
              <w:t>;</w:t>
            </w:r>
          </w:p>
          <w:p w14:paraId="6C0B4FD8" w14:textId="77777777" w:rsidR="00972ACB" w:rsidRPr="00D57A21" w:rsidRDefault="00972ACB">
            <w:pPr>
              <w:pStyle w:val="ListParagraph"/>
              <w:widowControl/>
              <w:numPr>
                <w:ilvl w:val="0"/>
                <w:numId w:val="12"/>
              </w:numPr>
              <w:autoSpaceDE/>
              <w:autoSpaceDN/>
              <w:contextualSpacing/>
              <w:rPr>
                <w:sz w:val="24"/>
                <w:szCs w:val="24"/>
                <w:lang w:val="ro-RO"/>
              </w:rPr>
            </w:pPr>
            <w:r w:rsidRPr="00D57A21">
              <w:rPr>
                <w:sz w:val="24"/>
                <w:szCs w:val="24"/>
                <w:lang w:val="ro-RO"/>
              </w:rPr>
              <w:t>2 sisteme de monitorizare in-ear wireless</w:t>
            </w:r>
            <w:r>
              <w:rPr>
                <w:sz w:val="24"/>
                <w:szCs w:val="24"/>
                <w:lang w:val="ro-RO"/>
              </w:rPr>
              <w:t>;</w:t>
            </w:r>
          </w:p>
          <w:p w14:paraId="0902FC8C" w14:textId="77777777" w:rsidR="00972ACB" w:rsidRDefault="00972ACB">
            <w:pPr>
              <w:pStyle w:val="ListParagraph"/>
              <w:widowControl/>
              <w:numPr>
                <w:ilvl w:val="0"/>
                <w:numId w:val="12"/>
              </w:numPr>
              <w:autoSpaceDE/>
              <w:autoSpaceDN/>
              <w:contextualSpacing/>
              <w:rPr>
                <w:sz w:val="24"/>
                <w:szCs w:val="24"/>
                <w:lang w:val="ro-RO"/>
              </w:rPr>
            </w:pPr>
            <w:r w:rsidRPr="00D57A21">
              <w:rPr>
                <w:sz w:val="24"/>
                <w:szCs w:val="24"/>
                <w:lang w:val="ro-RO"/>
              </w:rPr>
              <w:t>Conectică video, splitere, accesorii necesare pentru buna funcționare a sistemelor propuse</w:t>
            </w:r>
            <w:r>
              <w:rPr>
                <w:sz w:val="24"/>
                <w:szCs w:val="24"/>
                <w:lang w:val="ro-RO"/>
              </w:rPr>
              <w:t>.</w:t>
            </w:r>
          </w:p>
          <w:p w14:paraId="529F29B3" w14:textId="77777777" w:rsidR="00972ACB" w:rsidRPr="00D57A21" w:rsidRDefault="00972ACB">
            <w:pPr>
              <w:pStyle w:val="ListParagraph"/>
              <w:widowControl/>
              <w:autoSpaceDE/>
              <w:autoSpaceDN/>
              <w:ind w:left="720"/>
              <w:contextualSpacing/>
              <w:rPr>
                <w:sz w:val="24"/>
                <w:szCs w:val="24"/>
                <w:lang w:val="ro-RO"/>
              </w:rPr>
            </w:pPr>
          </w:p>
        </w:tc>
      </w:tr>
      <w:tr w:rsidR="00972ACB" w14:paraId="4E5DF904" w14:textId="77777777">
        <w:tc>
          <w:tcPr>
            <w:tcW w:w="909" w:type="dxa"/>
          </w:tcPr>
          <w:p w14:paraId="560504AB" w14:textId="77777777" w:rsidR="00972ACB" w:rsidRPr="00D57A21" w:rsidRDefault="00972ACB">
            <w:pPr>
              <w:pStyle w:val="BodyText"/>
              <w:spacing w:line="276" w:lineRule="auto"/>
              <w:ind w:left="491"/>
              <w:jc w:val="both"/>
              <w:rPr>
                <w:color w:val="000000" w:themeColor="text1"/>
                <w:sz w:val="24"/>
                <w:szCs w:val="24"/>
              </w:rPr>
            </w:pPr>
            <w:r w:rsidRPr="00D57A21">
              <w:rPr>
                <w:color w:val="000000" w:themeColor="text1"/>
                <w:sz w:val="24"/>
                <w:szCs w:val="24"/>
              </w:rPr>
              <w:t>4.</w:t>
            </w:r>
          </w:p>
        </w:tc>
        <w:tc>
          <w:tcPr>
            <w:tcW w:w="3622" w:type="dxa"/>
          </w:tcPr>
          <w:p w14:paraId="19910245" w14:textId="77777777" w:rsidR="00972ACB" w:rsidRPr="00D57A21" w:rsidRDefault="00972ACB">
            <w:pPr>
              <w:widowControl/>
              <w:autoSpaceDE/>
              <w:autoSpaceDN/>
              <w:contextualSpacing/>
              <w:rPr>
                <w:sz w:val="24"/>
                <w:szCs w:val="24"/>
                <w:lang w:val="ro-RO" w:bidi="ar-SA"/>
              </w:rPr>
            </w:pPr>
            <w:r w:rsidRPr="00D57A21">
              <w:rPr>
                <w:sz w:val="24"/>
                <w:szCs w:val="24"/>
                <w:lang w:val="ro-RO"/>
              </w:rPr>
              <w:t xml:space="preserve">Personal tehnic specializat pentru montare, demontare și operare echipamente </w:t>
            </w:r>
          </w:p>
        </w:tc>
        <w:tc>
          <w:tcPr>
            <w:tcW w:w="5670" w:type="dxa"/>
          </w:tcPr>
          <w:p w14:paraId="6B10C4FD" w14:textId="77777777" w:rsidR="00972ACB" w:rsidRPr="00F309A2" w:rsidRDefault="00972ACB">
            <w:pPr>
              <w:pStyle w:val="ListParagraph"/>
              <w:widowControl/>
              <w:numPr>
                <w:ilvl w:val="0"/>
                <w:numId w:val="12"/>
              </w:numPr>
              <w:autoSpaceDE/>
              <w:autoSpaceDN/>
              <w:contextualSpacing/>
              <w:rPr>
                <w:sz w:val="24"/>
                <w:szCs w:val="24"/>
                <w:lang w:val="ro-RO" w:bidi="ar-SA"/>
              </w:rPr>
            </w:pPr>
            <w:r w:rsidRPr="00F309A2">
              <w:rPr>
                <w:sz w:val="24"/>
                <w:szCs w:val="24"/>
                <w:lang w:val="ro-RO"/>
              </w:rPr>
              <w:t>1 Regizor de emisie;</w:t>
            </w:r>
          </w:p>
          <w:p w14:paraId="7D621963" w14:textId="77777777" w:rsidR="00972ACB" w:rsidRPr="00F309A2" w:rsidRDefault="00972ACB">
            <w:pPr>
              <w:pStyle w:val="ListParagraph"/>
              <w:widowControl/>
              <w:numPr>
                <w:ilvl w:val="0"/>
                <w:numId w:val="12"/>
              </w:numPr>
              <w:autoSpaceDE/>
              <w:autoSpaceDN/>
              <w:contextualSpacing/>
              <w:rPr>
                <w:sz w:val="24"/>
                <w:szCs w:val="24"/>
                <w:lang w:val="ro-RO"/>
              </w:rPr>
            </w:pPr>
            <w:r w:rsidRPr="00F309A2">
              <w:rPr>
                <w:sz w:val="24"/>
                <w:szCs w:val="24"/>
                <w:lang w:val="ro-RO"/>
              </w:rPr>
              <w:t>1 Director de imagine;</w:t>
            </w:r>
          </w:p>
          <w:p w14:paraId="3774F85B" w14:textId="77777777" w:rsidR="00972ACB" w:rsidRPr="00F309A2" w:rsidRDefault="00972ACB">
            <w:pPr>
              <w:pStyle w:val="ListParagraph"/>
              <w:widowControl/>
              <w:numPr>
                <w:ilvl w:val="0"/>
                <w:numId w:val="12"/>
              </w:numPr>
              <w:autoSpaceDE/>
              <w:autoSpaceDN/>
              <w:contextualSpacing/>
              <w:rPr>
                <w:sz w:val="24"/>
                <w:szCs w:val="24"/>
                <w:lang w:val="ro-RO"/>
              </w:rPr>
            </w:pPr>
            <w:r w:rsidRPr="00F309A2">
              <w:rPr>
                <w:sz w:val="24"/>
                <w:szCs w:val="24"/>
                <w:lang w:val="ro-RO"/>
              </w:rPr>
              <w:t>3 Cameramani;</w:t>
            </w:r>
          </w:p>
          <w:p w14:paraId="1D688B9C" w14:textId="77777777" w:rsidR="00972ACB" w:rsidRPr="00F309A2" w:rsidRDefault="00972ACB">
            <w:pPr>
              <w:pStyle w:val="ListParagraph"/>
              <w:widowControl/>
              <w:numPr>
                <w:ilvl w:val="0"/>
                <w:numId w:val="12"/>
              </w:numPr>
              <w:autoSpaceDE/>
              <w:autoSpaceDN/>
              <w:contextualSpacing/>
              <w:rPr>
                <w:sz w:val="24"/>
                <w:szCs w:val="24"/>
                <w:lang w:val="ro-RO"/>
              </w:rPr>
            </w:pPr>
            <w:r w:rsidRPr="00F309A2">
              <w:rPr>
                <w:sz w:val="24"/>
                <w:szCs w:val="24"/>
                <w:lang w:val="ro-RO"/>
              </w:rPr>
              <w:t>1 Tehnician de lumini;</w:t>
            </w:r>
          </w:p>
          <w:p w14:paraId="4EC09D43" w14:textId="77777777" w:rsidR="00972ACB" w:rsidRPr="00F309A2" w:rsidRDefault="00972ACB">
            <w:pPr>
              <w:pStyle w:val="ListParagraph"/>
              <w:widowControl/>
              <w:numPr>
                <w:ilvl w:val="0"/>
                <w:numId w:val="12"/>
              </w:numPr>
              <w:autoSpaceDE/>
              <w:autoSpaceDN/>
              <w:contextualSpacing/>
              <w:rPr>
                <w:sz w:val="24"/>
                <w:szCs w:val="24"/>
                <w:lang w:val="ro-RO"/>
              </w:rPr>
            </w:pPr>
            <w:r w:rsidRPr="00F309A2">
              <w:rPr>
                <w:sz w:val="24"/>
                <w:szCs w:val="24"/>
                <w:lang w:val="ro-RO"/>
              </w:rPr>
              <w:t>1 Inginer de sunet.</w:t>
            </w:r>
          </w:p>
        </w:tc>
      </w:tr>
      <w:tr w:rsidR="00972ACB" w14:paraId="7AC8F7EB" w14:textId="77777777">
        <w:tc>
          <w:tcPr>
            <w:tcW w:w="909" w:type="dxa"/>
          </w:tcPr>
          <w:p w14:paraId="0626FAF4" w14:textId="77777777" w:rsidR="00972ACB" w:rsidRPr="00D57A21" w:rsidRDefault="00972ACB">
            <w:pPr>
              <w:pStyle w:val="BodyText"/>
              <w:spacing w:line="276" w:lineRule="auto"/>
              <w:ind w:left="491"/>
              <w:jc w:val="both"/>
              <w:rPr>
                <w:color w:val="000000" w:themeColor="text1"/>
                <w:sz w:val="24"/>
                <w:szCs w:val="24"/>
              </w:rPr>
            </w:pPr>
            <w:r w:rsidRPr="00D57A21">
              <w:rPr>
                <w:color w:val="000000" w:themeColor="text1"/>
                <w:sz w:val="24"/>
                <w:szCs w:val="24"/>
              </w:rPr>
              <w:t>5.</w:t>
            </w:r>
          </w:p>
        </w:tc>
        <w:tc>
          <w:tcPr>
            <w:tcW w:w="3622" w:type="dxa"/>
          </w:tcPr>
          <w:p w14:paraId="207616B8" w14:textId="77777777" w:rsidR="00972ACB" w:rsidRPr="00D57A21" w:rsidRDefault="00972ACB">
            <w:pPr>
              <w:widowControl/>
              <w:autoSpaceDE/>
              <w:autoSpaceDN/>
              <w:contextualSpacing/>
              <w:rPr>
                <w:sz w:val="24"/>
                <w:szCs w:val="24"/>
                <w:lang w:val="ro-RO" w:bidi="ar-SA"/>
              </w:rPr>
            </w:pPr>
            <w:r>
              <w:rPr>
                <w:sz w:val="24"/>
                <w:szCs w:val="24"/>
                <w:lang w:val="ro-RO"/>
              </w:rPr>
              <w:t>Electrica</w:t>
            </w:r>
          </w:p>
          <w:p w14:paraId="6D524D89" w14:textId="77777777" w:rsidR="00972ACB" w:rsidRPr="00D57A21" w:rsidRDefault="00972ACB">
            <w:pPr>
              <w:widowControl/>
              <w:autoSpaceDE/>
              <w:autoSpaceDN/>
              <w:contextualSpacing/>
              <w:rPr>
                <w:sz w:val="24"/>
                <w:szCs w:val="24"/>
                <w:lang w:val="ro-RO"/>
              </w:rPr>
            </w:pPr>
          </w:p>
        </w:tc>
        <w:tc>
          <w:tcPr>
            <w:tcW w:w="5670" w:type="dxa"/>
          </w:tcPr>
          <w:p w14:paraId="09755F8F" w14:textId="77777777" w:rsidR="00972ACB" w:rsidRPr="00F309A2" w:rsidRDefault="00972ACB">
            <w:pPr>
              <w:pStyle w:val="ListParagraph"/>
              <w:numPr>
                <w:ilvl w:val="0"/>
                <w:numId w:val="17"/>
              </w:numPr>
              <w:rPr>
                <w:sz w:val="24"/>
                <w:szCs w:val="24"/>
                <w:lang w:val="ro-RO"/>
              </w:rPr>
            </w:pPr>
            <w:r w:rsidRPr="00F309A2">
              <w:rPr>
                <w:sz w:val="24"/>
                <w:szCs w:val="24"/>
                <w:lang w:val="ro-RO"/>
              </w:rPr>
              <w:t>Distribuții electrice, conectică și accesorii pentru alimentarea electrică a tuturor echipamentelor;</w:t>
            </w:r>
          </w:p>
          <w:p w14:paraId="76DF9BE1" w14:textId="77777777" w:rsidR="00972ACB" w:rsidRPr="00F309A2" w:rsidRDefault="00972ACB">
            <w:pPr>
              <w:pStyle w:val="ListParagraph"/>
              <w:numPr>
                <w:ilvl w:val="0"/>
                <w:numId w:val="17"/>
              </w:numPr>
              <w:rPr>
                <w:sz w:val="24"/>
                <w:szCs w:val="24"/>
                <w:lang w:val="ro-RO"/>
              </w:rPr>
            </w:pPr>
            <w:r w:rsidRPr="00F309A2">
              <w:rPr>
                <w:sz w:val="24"/>
                <w:szCs w:val="24"/>
                <w:lang w:val="ro-RO"/>
              </w:rPr>
              <w:t>Sisteme de distribuție curent trifazic 400A – 250A – 125 - 63A – 32A – 16A .</w:t>
            </w:r>
          </w:p>
          <w:p w14:paraId="7B6C0A02" w14:textId="77777777" w:rsidR="00972ACB" w:rsidRPr="00F309A2" w:rsidRDefault="00972ACB">
            <w:pPr>
              <w:pStyle w:val="ListParagraph"/>
              <w:widowControl/>
              <w:autoSpaceDE/>
              <w:autoSpaceDN/>
              <w:ind w:left="720"/>
              <w:contextualSpacing/>
              <w:rPr>
                <w:sz w:val="24"/>
                <w:szCs w:val="24"/>
                <w:lang w:val="ro-RO"/>
              </w:rPr>
            </w:pPr>
          </w:p>
        </w:tc>
      </w:tr>
      <w:tr w:rsidR="00972ACB" w14:paraId="35FAEA4D" w14:textId="77777777">
        <w:tc>
          <w:tcPr>
            <w:tcW w:w="909" w:type="dxa"/>
          </w:tcPr>
          <w:p w14:paraId="0ADBE2B1" w14:textId="77777777" w:rsidR="00972ACB" w:rsidRPr="00D57A21" w:rsidRDefault="00972ACB">
            <w:pPr>
              <w:pStyle w:val="BodyText"/>
              <w:spacing w:line="276" w:lineRule="auto"/>
              <w:ind w:left="491"/>
              <w:jc w:val="both"/>
              <w:rPr>
                <w:color w:val="000000" w:themeColor="text1"/>
                <w:sz w:val="24"/>
                <w:szCs w:val="24"/>
              </w:rPr>
            </w:pPr>
            <w:r>
              <w:rPr>
                <w:color w:val="000000" w:themeColor="text1"/>
                <w:sz w:val="24"/>
                <w:szCs w:val="24"/>
              </w:rPr>
              <w:t>6.</w:t>
            </w:r>
          </w:p>
        </w:tc>
        <w:tc>
          <w:tcPr>
            <w:tcW w:w="3622" w:type="dxa"/>
          </w:tcPr>
          <w:p w14:paraId="30945E91" w14:textId="77777777" w:rsidR="00972ACB" w:rsidRDefault="00972ACB">
            <w:pPr>
              <w:widowControl/>
              <w:autoSpaceDE/>
              <w:autoSpaceDN/>
              <w:contextualSpacing/>
              <w:rPr>
                <w:sz w:val="24"/>
                <w:szCs w:val="24"/>
                <w:lang w:val="ro-RO"/>
              </w:rPr>
            </w:pPr>
            <w:r>
              <w:rPr>
                <w:sz w:val="24"/>
                <w:szCs w:val="24"/>
                <w:lang w:val="ro-RO"/>
              </w:rPr>
              <w:t>Echipamente multimedia</w:t>
            </w:r>
          </w:p>
        </w:tc>
        <w:tc>
          <w:tcPr>
            <w:tcW w:w="5670" w:type="dxa"/>
          </w:tcPr>
          <w:p w14:paraId="46FCB857" w14:textId="77777777" w:rsidR="00972ACB" w:rsidRPr="00F309A2" w:rsidRDefault="00972ACB">
            <w:pPr>
              <w:pStyle w:val="ListParagraph"/>
              <w:numPr>
                <w:ilvl w:val="0"/>
                <w:numId w:val="17"/>
              </w:numPr>
              <w:rPr>
                <w:sz w:val="24"/>
                <w:szCs w:val="24"/>
                <w:lang w:val="ro-RO"/>
              </w:rPr>
            </w:pPr>
            <w:r w:rsidRPr="00F309A2">
              <w:rPr>
                <w:sz w:val="24"/>
                <w:szCs w:val="24"/>
                <w:lang w:val="ro-RO"/>
              </w:rPr>
              <w:t>1 ecran proiecție dimensiune 4x2,5 raport 16:9 front projection;</w:t>
            </w:r>
          </w:p>
          <w:p w14:paraId="6838CF60" w14:textId="77777777" w:rsidR="00972ACB" w:rsidRPr="00F309A2" w:rsidRDefault="00972ACB">
            <w:pPr>
              <w:pStyle w:val="ListParagraph"/>
              <w:numPr>
                <w:ilvl w:val="0"/>
                <w:numId w:val="17"/>
              </w:numPr>
              <w:rPr>
                <w:sz w:val="24"/>
                <w:szCs w:val="24"/>
                <w:lang w:val="ro-RO"/>
              </w:rPr>
            </w:pPr>
            <w:r w:rsidRPr="00F309A2">
              <w:rPr>
                <w:sz w:val="24"/>
                <w:szCs w:val="24"/>
                <w:lang w:val="ro-RO"/>
              </w:rPr>
              <w:lastRenderedPageBreak/>
              <w:t>1 Videoproiector laser minim 10000 an și lumeni cu conexiune HDMI și SDI, rezoluție 4K;</w:t>
            </w:r>
          </w:p>
          <w:p w14:paraId="667873AF" w14:textId="77777777" w:rsidR="00972ACB" w:rsidRPr="00F309A2" w:rsidRDefault="00972ACB">
            <w:pPr>
              <w:pStyle w:val="ListParagraph"/>
              <w:numPr>
                <w:ilvl w:val="0"/>
                <w:numId w:val="17"/>
              </w:numPr>
              <w:rPr>
                <w:sz w:val="24"/>
                <w:szCs w:val="24"/>
                <w:lang w:val="ro-RO"/>
              </w:rPr>
            </w:pPr>
            <w:r w:rsidRPr="00F309A2">
              <w:rPr>
                <w:sz w:val="24"/>
                <w:szCs w:val="24"/>
                <w:lang w:val="ro-RO"/>
              </w:rPr>
              <w:t>Laptop / media server pentru redare materiale grafice.</w:t>
            </w:r>
          </w:p>
        </w:tc>
      </w:tr>
      <w:tr w:rsidR="00972ACB" w14:paraId="56D8DFE1" w14:textId="77777777">
        <w:tc>
          <w:tcPr>
            <w:tcW w:w="909" w:type="dxa"/>
          </w:tcPr>
          <w:p w14:paraId="75FB4AC2" w14:textId="77777777" w:rsidR="00972ACB" w:rsidRDefault="00972ACB">
            <w:pPr>
              <w:pStyle w:val="BodyText"/>
              <w:spacing w:line="276" w:lineRule="auto"/>
              <w:ind w:left="491"/>
              <w:jc w:val="both"/>
              <w:rPr>
                <w:color w:val="000000" w:themeColor="text1"/>
                <w:sz w:val="24"/>
                <w:szCs w:val="24"/>
              </w:rPr>
            </w:pPr>
            <w:r>
              <w:rPr>
                <w:color w:val="000000" w:themeColor="text1"/>
                <w:sz w:val="24"/>
                <w:szCs w:val="24"/>
              </w:rPr>
              <w:lastRenderedPageBreak/>
              <w:t>7.</w:t>
            </w:r>
          </w:p>
        </w:tc>
        <w:tc>
          <w:tcPr>
            <w:tcW w:w="3622" w:type="dxa"/>
          </w:tcPr>
          <w:p w14:paraId="446FFCEC" w14:textId="77777777" w:rsidR="00972ACB" w:rsidRDefault="00972ACB">
            <w:pPr>
              <w:widowControl/>
              <w:autoSpaceDE/>
              <w:autoSpaceDN/>
              <w:contextualSpacing/>
              <w:rPr>
                <w:sz w:val="24"/>
                <w:szCs w:val="24"/>
                <w:lang w:val="ro-RO"/>
              </w:rPr>
            </w:pPr>
            <w:r>
              <w:rPr>
                <w:sz w:val="24"/>
                <w:szCs w:val="24"/>
                <w:lang w:val="ro-RO"/>
              </w:rPr>
              <w:t>Instalație de sunet</w:t>
            </w:r>
          </w:p>
        </w:tc>
        <w:tc>
          <w:tcPr>
            <w:tcW w:w="5670" w:type="dxa"/>
          </w:tcPr>
          <w:p w14:paraId="1746BABC" w14:textId="77777777" w:rsidR="00972ACB" w:rsidRPr="00F309A2" w:rsidRDefault="00972ACB">
            <w:pPr>
              <w:pStyle w:val="ListParagraph"/>
              <w:numPr>
                <w:ilvl w:val="0"/>
                <w:numId w:val="17"/>
              </w:numPr>
              <w:rPr>
                <w:sz w:val="24"/>
                <w:szCs w:val="24"/>
                <w:lang w:val="ro-RO"/>
              </w:rPr>
            </w:pPr>
            <w:r w:rsidRPr="00F309A2">
              <w:rPr>
                <w:sz w:val="24"/>
                <w:szCs w:val="24"/>
                <w:lang w:val="ro-RO"/>
              </w:rPr>
              <w:t>Sistem de sunet cu boxe pasive tip line array și amplificatoare digitale capabil să acopere o audiență estimată de 100 -600 de persoane și o presiune de sunet de minim 130 dB SPL, la o distanță de 50 m față de sursa. Mărci agreate D&amp;B AUDIOTEHNIK, MEYER SOUND, L’ACOUSTICS.</w:t>
            </w:r>
          </w:p>
          <w:p w14:paraId="0F767F57" w14:textId="77777777" w:rsidR="00972ACB" w:rsidRPr="00F309A2" w:rsidRDefault="00972ACB">
            <w:pPr>
              <w:pStyle w:val="ListParagraph"/>
              <w:numPr>
                <w:ilvl w:val="0"/>
                <w:numId w:val="17"/>
              </w:numPr>
              <w:rPr>
                <w:sz w:val="24"/>
                <w:szCs w:val="24"/>
                <w:lang w:val="ro-RO"/>
              </w:rPr>
            </w:pPr>
            <w:r w:rsidRPr="00F309A2">
              <w:rPr>
                <w:sz w:val="24"/>
                <w:szCs w:val="24"/>
                <w:lang w:val="ro-RO"/>
              </w:rPr>
              <w:t>Mixer de sunet digital cu minim 48 de canale, 24 auxiliare. Mărci agreate DIGICO, SSL AUDIO.</w:t>
            </w:r>
          </w:p>
          <w:p w14:paraId="4FFFD331" w14:textId="77777777" w:rsidR="00972ACB" w:rsidRPr="00F309A2" w:rsidRDefault="00972ACB">
            <w:pPr>
              <w:pStyle w:val="ListParagraph"/>
              <w:numPr>
                <w:ilvl w:val="0"/>
                <w:numId w:val="17"/>
              </w:numPr>
              <w:rPr>
                <w:sz w:val="24"/>
                <w:szCs w:val="24"/>
                <w:lang w:val="ro-RO"/>
              </w:rPr>
            </w:pPr>
            <w:r w:rsidRPr="00F309A2">
              <w:rPr>
                <w:sz w:val="24"/>
                <w:szCs w:val="24"/>
                <w:lang w:val="ro-RO"/>
              </w:rPr>
              <w:t>Monitoare de control pasive, pe 3 cai, putere minima 600W. Marci agreate D&amp;B AUDIOTEHNIK, L’ACOUSTICS.</w:t>
            </w:r>
          </w:p>
          <w:p w14:paraId="2455ED8C" w14:textId="77777777" w:rsidR="00972ACB" w:rsidRPr="00F309A2" w:rsidRDefault="00972ACB">
            <w:pPr>
              <w:pStyle w:val="ListParagraph"/>
              <w:numPr>
                <w:ilvl w:val="0"/>
                <w:numId w:val="17"/>
              </w:numPr>
              <w:rPr>
                <w:sz w:val="24"/>
                <w:szCs w:val="24"/>
                <w:lang w:val="ro-RO"/>
              </w:rPr>
            </w:pPr>
            <w:r w:rsidRPr="00F309A2">
              <w:rPr>
                <w:sz w:val="24"/>
                <w:szCs w:val="24"/>
                <w:lang w:val="ro-RO"/>
              </w:rPr>
              <w:t>Conexiune digitală fibră optică între mixerul de sunet, rack-urile de scena și amplificatoare</w:t>
            </w:r>
          </w:p>
          <w:p w14:paraId="0F86D92C" w14:textId="77777777" w:rsidR="00972ACB" w:rsidRPr="00F309A2" w:rsidRDefault="00972ACB">
            <w:pPr>
              <w:pStyle w:val="ListParagraph"/>
              <w:numPr>
                <w:ilvl w:val="0"/>
                <w:numId w:val="17"/>
              </w:numPr>
              <w:rPr>
                <w:sz w:val="24"/>
                <w:szCs w:val="24"/>
                <w:lang w:val="ro-RO"/>
              </w:rPr>
            </w:pPr>
            <w:r w:rsidRPr="00F309A2">
              <w:rPr>
                <w:sz w:val="24"/>
                <w:szCs w:val="24"/>
                <w:lang w:val="ro-RO"/>
              </w:rPr>
              <w:t>Set de microfoane și accesorii  Mărci agreate SCHOEPS, DPA.</w:t>
            </w:r>
          </w:p>
          <w:p w14:paraId="43462122" w14:textId="77777777" w:rsidR="00972ACB" w:rsidRPr="00F309A2" w:rsidRDefault="00972ACB">
            <w:pPr>
              <w:pStyle w:val="ListParagraph"/>
              <w:numPr>
                <w:ilvl w:val="0"/>
                <w:numId w:val="17"/>
              </w:numPr>
              <w:rPr>
                <w:sz w:val="24"/>
                <w:szCs w:val="24"/>
                <w:lang w:val="ro-RO"/>
              </w:rPr>
            </w:pPr>
            <w:r w:rsidRPr="00F309A2">
              <w:rPr>
                <w:sz w:val="24"/>
                <w:szCs w:val="24"/>
                <w:lang w:val="ro-RO"/>
              </w:rPr>
              <w:t>4 microfoane wireless handheld</w:t>
            </w:r>
          </w:p>
          <w:p w14:paraId="7471FF5F" w14:textId="77777777" w:rsidR="00972ACB" w:rsidRPr="00F309A2" w:rsidRDefault="00972ACB">
            <w:pPr>
              <w:pStyle w:val="ListParagraph"/>
              <w:numPr>
                <w:ilvl w:val="0"/>
                <w:numId w:val="17"/>
              </w:numPr>
              <w:rPr>
                <w:sz w:val="24"/>
                <w:szCs w:val="24"/>
                <w:lang w:val="ro-RO"/>
              </w:rPr>
            </w:pPr>
            <w:r w:rsidRPr="00F309A2">
              <w:rPr>
                <w:sz w:val="24"/>
                <w:szCs w:val="24"/>
                <w:lang w:val="ro-RO"/>
              </w:rPr>
              <w:t>4 microfoane wireless headset skin color</w:t>
            </w:r>
          </w:p>
          <w:p w14:paraId="545EE08A" w14:textId="77777777" w:rsidR="00972ACB" w:rsidRPr="00F309A2" w:rsidRDefault="00972ACB">
            <w:pPr>
              <w:pStyle w:val="ListParagraph"/>
              <w:numPr>
                <w:ilvl w:val="0"/>
                <w:numId w:val="17"/>
              </w:numPr>
              <w:rPr>
                <w:sz w:val="24"/>
                <w:szCs w:val="24"/>
                <w:lang w:val="ro-RO"/>
              </w:rPr>
            </w:pPr>
            <w:r w:rsidRPr="00F309A2">
              <w:rPr>
                <w:sz w:val="24"/>
                <w:szCs w:val="24"/>
                <w:lang w:val="ro-RO"/>
              </w:rPr>
              <w:t>2 sisteme INEAR</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3667648E" w14:textId="77777777" w:rsidR="00A05D2F" w:rsidRDefault="00A05D2F" w:rsidP="001D5A6E">
      <w:pPr>
        <w:pStyle w:val="BodyText"/>
        <w:spacing w:line="276" w:lineRule="auto"/>
        <w:ind w:firstLine="720"/>
        <w:jc w:val="both"/>
        <w:rPr>
          <w:color w:val="000000" w:themeColor="text1"/>
          <w:sz w:val="24"/>
          <w:szCs w:val="24"/>
          <w:lang w:val="ro-RO"/>
        </w:rPr>
      </w:pPr>
    </w:p>
    <w:p w14:paraId="2B939480" w14:textId="77777777" w:rsidR="00A05D2F" w:rsidRPr="00683E26" w:rsidRDefault="00A05D2F" w:rsidP="001D5A6E">
      <w:pPr>
        <w:pStyle w:val="BodyText"/>
        <w:spacing w:line="276" w:lineRule="auto"/>
        <w:ind w:firstLine="720"/>
        <w:jc w:val="both"/>
        <w:rPr>
          <w:color w:val="000000" w:themeColor="text1"/>
          <w:sz w:val="24"/>
          <w:szCs w:val="24"/>
          <w:lang w:val="ro-RO"/>
        </w:rPr>
      </w:pP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37DA8AF5" w:rsidR="001D5A6E" w:rsidRPr="00683E26" w:rsidRDefault="00F10949" w:rsidP="001D5A6E">
      <w:pPr>
        <w:pStyle w:val="BodyText"/>
        <w:spacing w:line="276" w:lineRule="auto"/>
        <w:jc w:val="both"/>
        <w:rPr>
          <w:color w:val="000000" w:themeColor="text1"/>
          <w:sz w:val="24"/>
          <w:szCs w:val="24"/>
          <w:lang w:val="ro-RO"/>
        </w:rPr>
      </w:pPr>
      <w:r>
        <w:rPr>
          <w:b/>
          <w:color w:val="000000" w:themeColor="text1"/>
          <w:sz w:val="24"/>
          <w:szCs w:val="24"/>
          <w:lang w:val="ro-RO"/>
        </w:rPr>
        <w:t>Stefan MOISESCU</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E433" w14:textId="77777777" w:rsidR="00AE0BA8" w:rsidRDefault="00AE0BA8" w:rsidP="00097BA5">
      <w:r>
        <w:separator/>
      </w:r>
    </w:p>
  </w:endnote>
  <w:endnote w:type="continuationSeparator" w:id="0">
    <w:p w14:paraId="38E41745" w14:textId="77777777" w:rsidR="00AE0BA8" w:rsidRDefault="00AE0BA8"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93E9" w14:textId="77777777" w:rsidR="00AE0BA8" w:rsidRDefault="00AE0BA8" w:rsidP="00097BA5">
      <w:r>
        <w:separator/>
      </w:r>
    </w:p>
  </w:footnote>
  <w:footnote w:type="continuationSeparator" w:id="0">
    <w:p w14:paraId="7866D1EE" w14:textId="77777777" w:rsidR="00AE0BA8" w:rsidRDefault="00AE0BA8"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2F53"/>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3C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4E8E"/>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CCF"/>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AE"/>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0A5"/>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2DBA"/>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15D"/>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ACB"/>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5D2F"/>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0BA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1BE3"/>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56DE6"/>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73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146"/>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255F"/>
    <w:rsid w:val="00E74E3C"/>
    <w:rsid w:val="00E75459"/>
    <w:rsid w:val="00E810EB"/>
    <w:rsid w:val="00E826C8"/>
    <w:rsid w:val="00E82F5A"/>
    <w:rsid w:val="00E83F64"/>
    <w:rsid w:val="00E854F2"/>
    <w:rsid w:val="00E85DCC"/>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0725"/>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09A2"/>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804"/>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1CBA875-2BA3-4151-AC83-BA938697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2025-06-19T09:31:00Z</dcterms:created>
  <dcterms:modified xsi:type="dcterms:W3CDTF">2025-06-19T09:31:00Z</dcterms:modified>
</cp:coreProperties>
</file>