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0CBF71CE" w14:textId="400E06F0" w:rsidR="00E062A6" w:rsidRDefault="00791476" w:rsidP="000154B3">
      <w:pPr>
        <w:pStyle w:val="BodyText"/>
        <w:ind w:left="1440" w:firstLine="720"/>
        <w:jc w:val="center"/>
        <w:rPr>
          <w:b/>
          <w:color w:val="0000FF"/>
          <w:sz w:val="28"/>
          <w:szCs w:val="28"/>
          <w:lang w:val="ro-RO" w:eastAsia="ro-RO"/>
        </w:rPr>
      </w:pPr>
      <w:r w:rsidRPr="00791476">
        <w:rPr>
          <w:b/>
          <w:color w:val="0000FF"/>
          <w:sz w:val="28"/>
          <w:szCs w:val="28"/>
          <w:lang w:val="ro-RO" w:eastAsia="ro-RO"/>
        </w:rPr>
        <w:t>Servicii de inchiriere echipamente si decor AutoConnect Expo</w:t>
      </w:r>
    </w:p>
    <w:p w14:paraId="5B34D639" w14:textId="77777777" w:rsidR="00791476" w:rsidRPr="00EB724C" w:rsidRDefault="00791476" w:rsidP="000154B3">
      <w:pPr>
        <w:pStyle w:val="BodyText"/>
        <w:ind w:left="1440" w:firstLine="720"/>
        <w:jc w:val="center"/>
        <w:rPr>
          <w:b/>
          <w:sz w:val="28"/>
          <w:lang w:val="ro-RO"/>
        </w:rPr>
      </w:pPr>
    </w:p>
    <w:p w14:paraId="5CD4358F" w14:textId="3F4DB004" w:rsidR="0031795C" w:rsidRPr="00EB724C" w:rsidRDefault="00277309" w:rsidP="000154B3">
      <w:pPr>
        <w:spacing w:before="1"/>
        <w:ind w:left="1560" w:right="27" w:hanging="1440"/>
        <w:jc w:val="center"/>
        <w:rPr>
          <w:b/>
          <w:sz w:val="28"/>
          <w:lang w:val="ro-RO"/>
        </w:rPr>
      </w:pPr>
      <w:r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1821F9">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63BB532C" w14:textId="0C43D0CF" w:rsidR="0071201B" w:rsidRDefault="000154B3" w:rsidP="009B3E95">
      <w:pPr>
        <w:pStyle w:val="BodyText"/>
        <w:rPr>
          <w:b/>
          <w:color w:val="0000FF"/>
          <w:sz w:val="28"/>
          <w:szCs w:val="28"/>
          <w:lang w:val="ro-RO" w:eastAsia="ro-RO"/>
        </w:rPr>
      </w:pPr>
      <w:r>
        <w:rPr>
          <w:b/>
          <w:color w:val="0000FF"/>
          <w:sz w:val="28"/>
          <w:szCs w:val="28"/>
          <w:lang w:val="ro-RO" w:eastAsia="ro-RO"/>
        </w:rPr>
        <w:t xml:space="preserve">          </w:t>
      </w:r>
      <w:r w:rsidR="00791476" w:rsidRPr="00791476">
        <w:rPr>
          <w:b/>
          <w:color w:val="0000FF"/>
          <w:sz w:val="28"/>
          <w:szCs w:val="28"/>
          <w:lang w:val="ro-RO" w:eastAsia="ro-RO"/>
        </w:rPr>
        <w:t>Servicii de inchiriere echipamente si decor AutoConnect Expo</w:t>
      </w: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7AB174AA" w:rsidR="0071201B"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791476" w:rsidRPr="00791476">
        <w:rPr>
          <w:rFonts w:ascii="Arial" w:hAnsi="Arial" w:cs="Arial"/>
          <w:b/>
          <w:color w:val="0000FF"/>
          <w:sz w:val="24"/>
          <w:lang w:val="ro-RO"/>
        </w:rPr>
        <w:t>Servicii de inchiriere echipamente si decor AutoConnect Expo</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1821F9">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7D4C0647" w14:textId="0BA90873" w:rsidR="00E22EBD"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791476" w:rsidRPr="00791476">
        <w:rPr>
          <w:rFonts w:ascii="Arial" w:hAnsi="Arial" w:cs="Arial"/>
          <w:b/>
          <w:color w:val="0000FF"/>
          <w:sz w:val="24"/>
          <w:lang w:val="ro-RO"/>
        </w:rPr>
        <w:t>Servicii de inchiriere echipamente si decor AutoConnect Expo</w:t>
      </w:r>
    </w:p>
    <w:p w14:paraId="51D3217D" w14:textId="77777777" w:rsidR="00791476" w:rsidRPr="00E27525" w:rsidRDefault="00791476" w:rsidP="009B3E95">
      <w:pPr>
        <w:ind w:right="-6"/>
        <w:jc w:val="both"/>
        <w:rPr>
          <w:rFonts w:ascii="Arial" w:hAnsi="Arial" w:cs="Arial"/>
          <w:b/>
          <w:sz w:val="24"/>
          <w:lang w:val="ro-RO"/>
        </w:rPr>
      </w:pPr>
    </w:p>
    <w:p w14:paraId="2505E619" w14:textId="2BADBCA4" w:rsidR="00E22EBD"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791476" w:rsidRPr="00791476">
        <w:rPr>
          <w:rFonts w:ascii="Arial" w:hAnsi="Arial" w:cs="Arial"/>
          <w:b/>
          <w:color w:val="0000FF"/>
          <w:sz w:val="24"/>
          <w:lang w:val="ro-RO"/>
        </w:rPr>
        <w:t>Servicii de inchiriere echipamente si decor AutoConnect Expo</w:t>
      </w:r>
    </w:p>
    <w:p w14:paraId="571B466F" w14:textId="77777777" w:rsidR="00791476" w:rsidRDefault="00791476"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1821F9">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24F7CD91" w:rsidR="0031795C" w:rsidRPr="007D59AD" w:rsidRDefault="00E22EBD" w:rsidP="007B39F5">
            <w:pPr>
              <w:pStyle w:val="TableParagraph"/>
              <w:spacing w:line="247" w:lineRule="exact"/>
              <w:ind w:left="0"/>
              <w:rPr>
                <w:rFonts w:ascii="Arial" w:hAnsi="Arial" w:cs="Arial"/>
                <w:color w:val="0000FF"/>
                <w:lang w:val="ro-RO"/>
              </w:rPr>
            </w:pPr>
            <w:r>
              <w:rPr>
                <w:rFonts w:ascii="Arial" w:hAnsi="Arial" w:cs="Arial"/>
                <w:color w:val="0000FF"/>
                <w:lang w:val="ro-RO"/>
              </w:rPr>
              <w:t>15.04.2024</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345B3218" w:rsidR="0031795C" w:rsidRPr="007D59AD" w:rsidRDefault="00E22EBD" w:rsidP="007B39F5">
            <w:pPr>
              <w:pStyle w:val="TableParagraph"/>
              <w:spacing w:line="247" w:lineRule="exact"/>
              <w:ind w:left="0"/>
              <w:rPr>
                <w:rFonts w:ascii="Arial" w:hAnsi="Arial" w:cs="Arial"/>
                <w:color w:val="0000FF"/>
                <w:lang w:val="ro-RO"/>
              </w:rPr>
            </w:pPr>
            <w:r>
              <w:rPr>
                <w:rFonts w:ascii="Arial" w:hAnsi="Arial" w:cs="Arial"/>
                <w:color w:val="0000FF"/>
                <w:lang w:val="ro-RO"/>
              </w:rPr>
              <w:t>18.04</w:t>
            </w:r>
            <w:r w:rsidR="00E55844">
              <w:rPr>
                <w:rFonts w:ascii="Arial" w:hAnsi="Arial" w:cs="Arial"/>
                <w:color w:val="0000FF"/>
                <w:lang w:val="ro-RO"/>
              </w:rPr>
              <w:t>.2024</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03E523A9" w:rsidR="0031795C" w:rsidRPr="007D59AD" w:rsidRDefault="00E22EBD" w:rsidP="00F7644B">
            <w:pPr>
              <w:pStyle w:val="TableParagraph"/>
              <w:spacing w:line="247" w:lineRule="exact"/>
              <w:ind w:left="0"/>
              <w:rPr>
                <w:rFonts w:ascii="Arial" w:hAnsi="Arial" w:cs="Arial"/>
                <w:color w:val="0000FF"/>
                <w:lang w:val="ro-RO"/>
              </w:rPr>
            </w:pPr>
            <w:r>
              <w:rPr>
                <w:rFonts w:ascii="Arial" w:hAnsi="Arial" w:cs="Arial"/>
                <w:color w:val="0000FF"/>
                <w:lang w:val="ro-RO"/>
              </w:rPr>
              <w:t>19.04</w:t>
            </w:r>
            <w:r w:rsidR="00E55844">
              <w:rPr>
                <w:rFonts w:ascii="Arial" w:hAnsi="Arial" w:cs="Arial"/>
                <w:color w:val="0000FF"/>
                <w:lang w:val="ro-RO"/>
              </w:rPr>
              <w:t>.2024</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28CB6F0A" w:rsidR="0031795C" w:rsidRPr="007D59AD" w:rsidRDefault="00E22EBD" w:rsidP="00DA618B">
            <w:pPr>
              <w:pStyle w:val="TableParagraph"/>
              <w:spacing w:line="247" w:lineRule="exact"/>
              <w:ind w:left="0"/>
              <w:rPr>
                <w:rFonts w:ascii="Arial" w:hAnsi="Arial" w:cs="Arial"/>
                <w:color w:val="0000FF"/>
                <w:lang w:val="ro-RO"/>
              </w:rPr>
            </w:pPr>
            <w:r>
              <w:rPr>
                <w:rFonts w:ascii="Arial" w:hAnsi="Arial" w:cs="Arial"/>
                <w:color w:val="0000FF"/>
                <w:lang w:val="ro-RO"/>
              </w:rPr>
              <w:t>23.04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C7715">
              <w:rPr>
                <w:rFonts w:ascii="Arial" w:hAnsi="Arial" w:cs="Arial"/>
                <w:color w:val="0000FF"/>
                <w:lang w:val="ro-RO"/>
              </w:rPr>
              <w:t>10</w:t>
            </w:r>
            <w:r>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16899A0D" w:rsidR="0031795C" w:rsidRPr="007D59AD" w:rsidRDefault="00E22EBD" w:rsidP="000676F6">
            <w:pPr>
              <w:pStyle w:val="TableParagraph"/>
              <w:spacing w:line="249" w:lineRule="exact"/>
              <w:ind w:left="0"/>
              <w:rPr>
                <w:rFonts w:ascii="Arial" w:hAnsi="Arial" w:cs="Arial"/>
                <w:color w:val="0000FF"/>
                <w:lang w:val="ro-RO"/>
              </w:rPr>
            </w:pPr>
            <w:r>
              <w:rPr>
                <w:rFonts w:ascii="Arial" w:hAnsi="Arial" w:cs="Arial"/>
                <w:color w:val="0000FF"/>
                <w:lang w:val="ro-RO"/>
              </w:rPr>
              <w:t>23.04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w:t>
            </w:r>
            <w:r w:rsidR="007C7715">
              <w:rPr>
                <w:rFonts w:ascii="Arial" w:hAnsi="Arial" w:cs="Arial"/>
                <w:color w:val="0000FF"/>
                <w:lang w:val="ro-RO"/>
              </w:rPr>
              <w:t>1</w:t>
            </w:r>
            <w:r w:rsidR="0071201B">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69EB6BD2" w:rsidR="0031795C" w:rsidRPr="007D59AD" w:rsidRDefault="00E55844" w:rsidP="007B39F5">
            <w:pPr>
              <w:pStyle w:val="TableParagraph"/>
              <w:spacing w:line="247" w:lineRule="exact"/>
              <w:ind w:left="0"/>
              <w:rPr>
                <w:rFonts w:ascii="Arial" w:hAnsi="Arial" w:cs="Arial"/>
                <w:color w:val="0000FF"/>
                <w:lang w:val="ro-RO"/>
              </w:rPr>
            </w:pPr>
            <w:r>
              <w:rPr>
                <w:rFonts w:ascii="Arial" w:hAnsi="Arial" w:cs="Arial"/>
                <w:color w:val="0000FF"/>
                <w:lang w:val="ro-RO"/>
              </w:rPr>
              <w:t>26.0</w:t>
            </w:r>
            <w:r w:rsidR="00E22EBD">
              <w:rPr>
                <w:rFonts w:ascii="Arial" w:hAnsi="Arial" w:cs="Arial"/>
                <w:color w:val="0000FF"/>
                <w:lang w:val="ro-RO"/>
              </w:rPr>
              <w:t>4</w:t>
            </w:r>
            <w:r>
              <w:rPr>
                <w:rFonts w:ascii="Arial" w:hAnsi="Arial" w:cs="Arial"/>
                <w:color w:val="0000FF"/>
                <w:lang w:val="ro-RO"/>
              </w:rPr>
              <w:t>.2024</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7C8771CC" w:rsidR="0031795C" w:rsidRPr="007D59AD" w:rsidRDefault="00E22EBD" w:rsidP="007B39F5">
            <w:pPr>
              <w:pStyle w:val="TableParagraph"/>
              <w:spacing w:line="247" w:lineRule="exact"/>
              <w:ind w:left="0"/>
              <w:rPr>
                <w:rFonts w:ascii="Arial" w:hAnsi="Arial" w:cs="Arial"/>
                <w:color w:val="0000FF"/>
                <w:lang w:val="ro-RO"/>
              </w:rPr>
            </w:pPr>
            <w:r>
              <w:rPr>
                <w:rFonts w:ascii="Arial" w:hAnsi="Arial" w:cs="Arial"/>
                <w:color w:val="0000FF"/>
                <w:lang w:val="ro-RO"/>
              </w:rPr>
              <w:t>30.04</w:t>
            </w:r>
            <w:r w:rsidR="00E55844">
              <w:rPr>
                <w:rFonts w:ascii="Arial" w:hAnsi="Arial" w:cs="Arial"/>
                <w:color w:val="0000FF"/>
                <w:lang w:val="ro-RO"/>
              </w:rPr>
              <w:t>.2024</w:t>
            </w:r>
          </w:p>
        </w:tc>
      </w:tr>
    </w:tbl>
    <w:p w14:paraId="5A741BC1" w14:textId="77777777" w:rsidR="0031795C" w:rsidRPr="00E27525" w:rsidRDefault="0031795C">
      <w:pPr>
        <w:spacing w:line="247" w:lineRule="exact"/>
        <w:rPr>
          <w:rFonts w:ascii="Arial" w:hAnsi="Arial" w:cs="Arial"/>
          <w:lang w:val="ro-RO"/>
        </w:rPr>
        <w:sectPr w:rsidR="0031795C" w:rsidRPr="00E27525" w:rsidSect="001821F9">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57E61755"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494309">
              <w:rPr>
                <w:rFonts w:ascii="Arial" w:hAnsi="Arial" w:cs="Arial"/>
                <w:color w:val="0000FF"/>
                <w:lang w:val="ro-RO"/>
              </w:rPr>
              <w:t>18.04</w:t>
            </w:r>
            <w:r w:rsidR="00ED13D8">
              <w:rPr>
                <w:rFonts w:ascii="Arial" w:hAnsi="Arial" w:cs="Arial"/>
                <w:color w:val="0000FF"/>
                <w:lang w:val="ro-RO"/>
              </w:rPr>
              <w:t>.2024</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3926212C"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494309">
              <w:rPr>
                <w:rFonts w:ascii="Arial" w:hAnsi="Arial" w:cs="Arial"/>
                <w:color w:val="0000FF"/>
                <w:lang w:val="ro-RO"/>
              </w:rPr>
              <w:t>19.04</w:t>
            </w:r>
            <w:r w:rsidR="00ED13D8">
              <w:rPr>
                <w:rFonts w:ascii="Arial" w:hAnsi="Arial" w:cs="Arial"/>
                <w:color w:val="0000FF"/>
                <w:lang w:val="ro-RO"/>
              </w:rPr>
              <w:t>.2024</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1D4F62BD" w:rsidR="0031795C" w:rsidRPr="00127705" w:rsidRDefault="007C7715" w:rsidP="00173D3A">
            <w:pPr>
              <w:pStyle w:val="TableParagraph"/>
              <w:spacing w:before="5" w:line="252" w:lineRule="exact"/>
              <w:ind w:right="303"/>
              <w:jc w:val="both"/>
              <w:rPr>
                <w:rFonts w:ascii="Arial" w:hAnsi="Arial" w:cs="Arial"/>
                <w:color w:val="0000FF"/>
                <w:lang w:val="ro-RO"/>
              </w:rPr>
            </w:pPr>
            <w:r w:rsidRPr="007C7715">
              <w:rPr>
                <w:rFonts w:ascii="Arial" w:hAnsi="Arial" w:cs="Arial"/>
                <w:b/>
                <w:color w:val="0000FF"/>
                <w:sz w:val="24"/>
                <w:lang w:val="ro-RO"/>
              </w:rPr>
              <w:t>Servicii de inchiriere echipamente si decor AutoConnect Expo</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239B01B6" w14:textId="43B37249" w:rsidR="00FC63F4" w:rsidRPr="00BE32F9" w:rsidRDefault="007C7715">
            <w:pPr>
              <w:pStyle w:val="TableParagraph"/>
              <w:ind w:left="0"/>
              <w:rPr>
                <w:rFonts w:ascii="Arial" w:hAnsi="Arial" w:cs="Arial"/>
                <w:color w:val="0000FF"/>
                <w:lang w:val="ro-RO"/>
              </w:rPr>
            </w:pPr>
            <w:r w:rsidRPr="007C7715">
              <w:rPr>
                <w:rFonts w:ascii="Arial" w:hAnsi="Arial" w:cs="Arial"/>
                <w:b/>
                <w:color w:val="0000FF"/>
                <w:sz w:val="24"/>
                <w:lang w:val="ro-RO"/>
              </w:rPr>
              <w:t>Servicii de inchiriere echipamente si decor AutoConnect Expo</w:t>
            </w:r>
            <w:r w:rsidRPr="007C7715">
              <w:rPr>
                <w:rFonts w:ascii="Arial" w:hAnsi="Arial" w:cs="Arial"/>
                <w:b/>
                <w:color w:val="0000FF"/>
                <w:sz w:val="24"/>
                <w:lang w:val="ro-RO"/>
              </w:rPr>
              <w:t xml:space="preserve"> </w:t>
            </w:r>
            <w:r w:rsidR="00FC63F4"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583DC092"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ED13D8">
              <w:rPr>
                <w:rFonts w:ascii="Arial" w:hAnsi="Arial" w:cs="Arial"/>
                <w:b/>
                <w:color w:val="0000FF"/>
                <w:lang w:val="ro-RO"/>
              </w:rPr>
              <w:t>50420,17</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4845CBCF"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7C7715" w:rsidRPr="007C7715">
              <w:rPr>
                <w:rFonts w:ascii="Arial" w:hAnsi="Arial" w:cs="Arial"/>
                <w:b/>
                <w:color w:val="0000FF"/>
                <w:sz w:val="24"/>
                <w:lang w:val="ro-RO"/>
              </w:rPr>
              <w:t>Servicii de inchiriere echipamente si decor AutoConnect Expo</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2BDB95DB" w:rsidR="00843DEC" w:rsidRPr="00FC63F4" w:rsidRDefault="00A8605C" w:rsidP="00900027">
            <w:pPr>
              <w:pStyle w:val="TableParagraph"/>
              <w:rPr>
                <w:rFonts w:ascii="Arial" w:hAnsi="Arial" w:cs="Arial"/>
                <w:lang w:val="ro-RO"/>
              </w:rPr>
            </w:pPr>
            <w:r w:rsidRPr="00A8605C">
              <w:rPr>
                <w:rFonts w:ascii="Arial" w:hAnsi="Arial" w:cs="Arial"/>
                <w:b/>
                <w:color w:val="0000FF"/>
                <w:sz w:val="24"/>
                <w:lang w:val="ro-RO"/>
              </w:rPr>
              <w:t xml:space="preserve">Servicii de organizare evenimente- </w:t>
            </w:r>
            <w:r w:rsidR="007C7715" w:rsidRPr="007C7715">
              <w:rPr>
                <w:rFonts w:ascii="Arial" w:hAnsi="Arial" w:cs="Arial"/>
                <w:b/>
                <w:color w:val="0000FF"/>
                <w:sz w:val="24"/>
                <w:lang w:val="ro-RO"/>
              </w:rPr>
              <w:t>Servicii de inchiriere echipamente si decor AutoConnect Expo</w:t>
            </w:r>
            <w:r w:rsidR="007C7715" w:rsidRPr="007C7715">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lastRenderedPageBreak/>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lastRenderedPageBreak/>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51629EA1"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responsabil achizitii-</w:t>
            </w:r>
            <w:r w:rsidR="00494309">
              <w:rPr>
                <w:rFonts w:ascii="Arial" w:hAnsi="Arial" w:cs="Arial"/>
                <w:color w:val="0000FF"/>
                <w:lang w:val="ro-RO"/>
              </w:rPr>
              <w:t>Cosmin Tonciu</w:t>
            </w:r>
            <w:r w:rsidR="00900027">
              <w:rPr>
                <w:rFonts w:ascii="Arial" w:hAnsi="Arial" w:cs="Arial"/>
                <w:color w:val="0000FF"/>
                <w:lang w:val="ro-RO"/>
              </w:rPr>
              <w:t xml:space="preserve">,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D13D8">
              <w:rPr>
                <w:rFonts w:ascii="Arial" w:hAnsi="Arial" w:cs="Arial"/>
                <w:color w:val="0000FF"/>
                <w:lang w:val="ro-RO"/>
              </w:rPr>
              <w:t>Cornel Chira</w:t>
            </w:r>
            <w:r w:rsidR="00A96C97">
              <w:rPr>
                <w:rFonts w:ascii="Arial" w:hAnsi="Arial" w:cs="Arial"/>
                <w:color w:val="0000FF"/>
                <w:lang w:val="ro-RO"/>
              </w:rPr>
              <w:t xml:space="preserve">-membru comisie, </w:t>
            </w:r>
            <w:r w:rsidR="00ED13D8">
              <w:rPr>
                <w:rFonts w:ascii="Arial" w:hAnsi="Arial" w:cs="Arial"/>
                <w:color w:val="0000FF"/>
                <w:lang w:val="ro-RO"/>
              </w:rPr>
              <w:t>Antonio Porumbita</w:t>
            </w:r>
            <w:r w:rsidR="00A96C97">
              <w:rPr>
                <w:rFonts w:ascii="Arial" w:hAnsi="Arial" w:cs="Arial"/>
                <w:color w:val="0000FF"/>
                <w:lang w:val="ro-RO"/>
              </w:rPr>
              <w:t xml:space="preserve">- membru comisie, </w:t>
            </w:r>
            <w:r w:rsidR="00ED13D8">
              <w:rPr>
                <w:rFonts w:ascii="Arial" w:hAnsi="Arial" w:cs="Arial"/>
                <w:color w:val="0000FF"/>
                <w:lang w:val="ro-RO"/>
              </w:rPr>
              <w:t>Stefan Moisescu</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lastRenderedPageBreak/>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75A16336"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ED13D8">
              <w:rPr>
                <w:rFonts w:ascii="Arial" w:hAnsi="Arial" w:cs="Arial"/>
                <w:color w:val="0000FF"/>
                <w:lang w:val="ro-RO"/>
              </w:rPr>
              <w:t>4</w:t>
            </w:r>
            <w:r w:rsidR="00D16ADC" w:rsidRPr="00832564">
              <w:rPr>
                <w:rFonts w:ascii="Arial" w:hAnsi="Arial" w:cs="Arial"/>
                <w:color w:val="0000FF"/>
                <w:lang w:val="ro-RO"/>
              </w:rPr>
              <w:t>_PAAP_</w:t>
            </w:r>
            <w:bookmarkEnd w:id="3"/>
            <w:r w:rsidR="00494309">
              <w:rPr>
                <w:rFonts w:ascii="Arial" w:hAnsi="Arial" w:cs="Arial"/>
                <w:color w:val="0000FF"/>
                <w:lang w:val="ro-RO"/>
              </w:rPr>
              <w:t>38</w:t>
            </w:r>
            <w:r w:rsidR="007C7715">
              <w:rPr>
                <w:rFonts w:ascii="Arial" w:hAnsi="Arial" w:cs="Arial"/>
                <w:color w:val="0000FF"/>
                <w:lang w:val="ro-RO"/>
              </w:rPr>
              <w:t>2</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213E46D9" w14:textId="2FDE109F" w:rsidR="00D30C8F" w:rsidRPr="00D30C8F"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7C7715" w:rsidRPr="007C7715">
              <w:rPr>
                <w:rFonts w:ascii="Arial" w:hAnsi="Arial" w:cs="Arial"/>
                <w:b/>
                <w:color w:val="0000FF"/>
                <w:sz w:val="24"/>
                <w:lang w:val="ro-RO"/>
              </w:rPr>
              <w:t>Servicii de inchiriere echipamente si decor AutoConnect Expo</w:t>
            </w:r>
          </w:p>
          <w:p w14:paraId="0932BF13" w14:textId="6FE0E1AB"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6F304BB1"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494309">
              <w:rPr>
                <w:rFonts w:ascii="Arial" w:hAnsi="Arial" w:cs="Arial"/>
                <w:color w:val="0000FF"/>
                <w:lang w:val="ro-RO"/>
              </w:rPr>
              <w:t>18.04</w:t>
            </w:r>
            <w:r w:rsidR="00ED13D8">
              <w:rPr>
                <w:rFonts w:ascii="Arial" w:hAnsi="Arial" w:cs="Arial"/>
                <w:color w:val="0000FF"/>
                <w:lang w:val="ro-RO"/>
              </w:rPr>
              <w:t>.2024</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3DDCEA56"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494309">
              <w:rPr>
                <w:rFonts w:ascii="Arial" w:hAnsi="Arial" w:cs="Arial"/>
                <w:color w:val="0000FF"/>
                <w:lang w:val="ro-RO"/>
              </w:rPr>
              <w:t>19.04</w:t>
            </w:r>
            <w:r w:rsidR="00ED13D8">
              <w:rPr>
                <w:rFonts w:ascii="Arial" w:hAnsi="Arial" w:cs="Arial"/>
                <w:color w:val="0000FF"/>
                <w:lang w:val="ro-RO"/>
              </w:rPr>
              <w:t>.2024</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rsidSect="001821F9">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32FBE6F7" w:rsidR="0031795C" w:rsidRPr="00E27525" w:rsidRDefault="008F0D2A" w:rsidP="00717005">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7C7715" w:rsidRPr="007C7715">
        <w:rPr>
          <w:rFonts w:ascii="Arial" w:hAnsi="Arial" w:cs="Arial"/>
          <w:b/>
          <w:color w:val="0000FF"/>
          <w:sz w:val="24"/>
          <w:lang w:val="ro-RO"/>
        </w:rPr>
        <w:t>Servicii de inchiriere echipamente si decor AutoConnect Expo</w:t>
      </w:r>
      <w:r w:rsidR="007C7715" w:rsidRPr="007C7715">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1821F9">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51D6D204"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C7715" w:rsidRPr="007C7715">
        <w:rPr>
          <w:rFonts w:ascii="Arial" w:hAnsi="Arial" w:cs="Arial"/>
          <w:b/>
          <w:color w:val="0000FF"/>
          <w:sz w:val="24"/>
          <w:lang w:val="ro-RO"/>
        </w:rPr>
        <w:t>Servicii de inchiriere echipamente si decor AutoConnect Expo</w:t>
      </w:r>
      <w:r w:rsidR="007C7715" w:rsidRPr="007C7715">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1821F9">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62F56CE2"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C7715" w:rsidRPr="007C7715">
        <w:rPr>
          <w:rFonts w:ascii="Arial" w:hAnsi="Arial" w:cs="Arial"/>
          <w:b/>
          <w:color w:val="0000FF"/>
          <w:sz w:val="24"/>
          <w:lang w:val="ro-RO"/>
        </w:rPr>
        <w:t>Servicii de inchiriere echipamente si decor AutoConnect Expo</w:t>
      </w:r>
      <w:r w:rsidR="007C7715" w:rsidRPr="007C7715">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Pr>
          <w:rFonts w:ascii="Arial" w:hAnsi="Arial" w:cs="Arial"/>
          <w:b/>
          <w:color w:val="0000FF"/>
          <w:sz w:val="24"/>
          <w:lang w:val="ro-RO"/>
        </w:rPr>
        <w:t>.................</w:t>
      </w:r>
      <w:r w:rsidR="005E4322" w:rsidRPr="005E4322">
        <w:rPr>
          <w:rFonts w:ascii="Arial" w:hAnsi="Arial" w:cs="Arial"/>
          <w:b/>
          <w:color w:val="0000FF"/>
          <w:sz w:val="24"/>
          <w:lang w:val="ro-RO"/>
        </w:rPr>
        <w:t>, organizată de Universitatea Națională de Știință și Tehnologie Politehnica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1821F9">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1C2AD0FA"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7C7715" w:rsidRPr="007C7715">
        <w:rPr>
          <w:rFonts w:ascii="Arial" w:hAnsi="Arial" w:cs="Arial"/>
          <w:b/>
          <w:color w:val="0000FF"/>
          <w:sz w:val="24"/>
          <w:lang w:val="ro-RO"/>
        </w:rPr>
        <w:t>Servicii de inchiriere echipamente si decor AutoConnect Expo</w:t>
      </w:r>
      <w:r w:rsidR="00494309" w:rsidRPr="00494309">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sidRPr="005E4322">
        <w:rPr>
          <w:rFonts w:ascii="Arial" w:hAnsi="Arial" w:cs="Arial"/>
          <w:b/>
          <w:color w:val="0000FF"/>
          <w:sz w:val="24"/>
          <w:lang w:val="ro-RO"/>
        </w:rPr>
        <w:tab/>
        <w:t xml:space="preserve">, organizată de </w:t>
      </w:r>
      <w:bookmarkStart w:id="9" w:name="_Hlk146285268"/>
      <w:r w:rsidR="005E4322" w:rsidRPr="005E4322">
        <w:rPr>
          <w:rFonts w:ascii="Arial" w:hAnsi="Arial" w:cs="Arial"/>
          <w:b/>
          <w:color w:val="0000FF"/>
          <w:sz w:val="24"/>
          <w:lang w:val="ro-RO"/>
        </w:rPr>
        <w:t>Universitatea Națională de Știință și Tehnologie Politehnica București</w:t>
      </w:r>
      <w:bookmarkEnd w:id="9"/>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786FF7D5"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responsabil achizitii-</w:t>
      </w:r>
      <w:r w:rsidR="00494309">
        <w:rPr>
          <w:rFonts w:ascii="Arial" w:hAnsi="Arial" w:cs="Arial"/>
          <w:color w:val="0000FF"/>
          <w:lang w:val="ro-RO"/>
        </w:rPr>
        <w:t>Cosmin Tonciu</w:t>
      </w:r>
      <w:r w:rsidR="00963797">
        <w:rPr>
          <w:rFonts w:ascii="Arial" w:hAnsi="Arial" w:cs="Arial"/>
          <w:color w:val="0000FF"/>
          <w:lang w:val="ro-RO"/>
        </w:rPr>
        <w:t xml:space="preserve">,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076D8">
        <w:rPr>
          <w:rFonts w:ascii="Arial" w:hAnsi="Arial" w:cs="Arial"/>
          <w:color w:val="0000FF"/>
          <w:lang w:val="ro-RO"/>
        </w:rPr>
        <w:t>Cornel Chira</w:t>
      </w:r>
      <w:r w:rsidR="00066558">
        <w:rPr>
          <w:rFonts w:ascii="Arial" w:hAnsi="Arial" w:cs="Arial"/>
          <w:color w:val="0000FF"/>
          <w:lang w:val="ro-RO"/>
        </w:rPr>
        <w:t xml:space="preserve">-membru comisie, </w:t>
      </w:r>
      <w:r w:rsidR="005076D8">
        <w:rPr>
          <w:rFonts w:ascii="Arial" w:hAnsi="Arial" w:cs="Arial"/>
          <w:color w:val="0000FF"/>
          <w:lang w:val="ro-RO"/>
        </w:rPr>
        <w:t>Antonio Porumbita</w:t>
      </w:r>
      <w:r w:rsidR="00066558">
        <w:rPr>
          <w:rFonts w:ascii="Arial" w:hAnsi="Arial" w:cs="Arial"/>
          <w:color w:val="0000FF"/>
          <w:lang w:val="ro-RO"/>
        </w:rPr>
        <w:t xml:space="preserve">-membru comisie, </w:t>
      </w:r>
      <w:r w:rsidR="005076D8">
        <w:rPr>
          <w:rFonts w:ascii="Arial" w:hAnsi="Arial" w:cs="Arial"/>
          <w:color w:val="0000FF"/>
          <w:lang w:val="ro-RO"/>
        </w:rPr>
        <w:t>Stefan Moisescu</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1821F9">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6A3FBA8B" w14:textId="629CE862" w:rsidR="005076D8"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7C7715" w:rsidRPr="007C7715">
        <w:rPr>
          <w:rFonts w:ascii="Arial" w:hAnsi="Arial" w:cs="Arial"/>
          <w:b/>
          <w:color w:val="0000FF"/>
          <w:sz w:val="24"/>
          <w:lang w:val="ro-RO"/>
        </w:rPr>
        <w:t>Servicii de inchiriere echipamente si decor AutoConnect Expo</w:t>
      </w:r>
    </w:p>
    <w:p w14:paraId="09AFFA16" w14:textId="77777777" w:rsidR="00494309" w:rsidRPr="00E27525" w:rsidRDefault="00494309"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rsidSect="001821F9">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rsidSect="001821F9">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2463D3C5" w14:textId="58687200" w:rsidR="00B96CF4"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7C7715" w:rsidRPr="007C7715">
        <w:rPr>
          <w:rFonts w:ascii="Arial" w:hAnsi="Arial" w:cs="Arial"/>
          <w:b/>
          <w:color w:val="0000FF"/>
          <w:sz w:val="24"/>
          <w:lang w:val="ro-RO"/>
        </w:rPr>
        <w:t>Servicii de inchiriere echipamente si decor AutoConnect Expo</w:t>
      </w:r>
    </w:p>
    <w:p w14:paraId="6B57B145" w14:textId="77777777" w:rsidR="00494309" w:rsidRPr="00E27525" w:rsidRDefault="00494309"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821F9">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rsidSect="001821F9">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24F7DCB7"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7C7715" w:rsidRPr="007C7715">
        <w:rPr>
          <w:rFonts w:ascii="Arial" w:hAnsi="Arial" w:cs="Arial"/>
          <w:b/>
          <w:color w:val="0000FF"/>
          <w:sz w:val="24"/>
          <w:lang w:val="ro-RO"/>
        </w:rPr>
        <w:t>Servicii de inchiriere echipamente si decor AutoConnect Expo</w:t>
      </w:r>
      <w:r w:rsidR="007C7715" w:rsidRPr="007C7715">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7C7715" w:rsidRPr="007C7715">
        <w:rPr>
          <w:rFonts w:ascii="Arial" w:hAnsi="Arial" w:cs="Arial"/>
          <w:b/>
          <w:color w:val="0000FF"/>
          <w:sz w:val="24"/>
          <w:lang w:val="ro-RO"/>
        </w:rPr>
        <w:t>Servicii de inchiriere echipamente si decor AutoConnect Expo</w:t>
      </w:r>
      <w:r w:rsidR="007C7715" w:rsidRPr="007C7715">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1821F9">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715931CB" w:rsidR="00932ECE" w:rsidRPr="00933C25" w:rsidRDefault="007C7715" w:rsidP="00B96CF4">
            <w:pPr>
              <w:rPr>
                <w:rFonts w:asciiTheme="minorHAnsi" w:hAnsiTheme="minorHAnsi" w:cstheme="minorHAnsi"/>
                <w:color w:val="000000"/>
              </w:rPr>
            </w:pPr>
            <w:r w:rsidRPr="007C7715">
              <w:rPr>
                <w:rFonts w:ascii="Arial" w:hAnsi="Arial" w:cs="Arial"/>
                <w:bCs/>
                <w:i/>
                <w:iCs/>
                <w:lang w:val="ro-RO"/>
              </w:rPr>
              <w:t>Servicii de inchiriere echipamente si decor AutoConnect Expo</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1821F9">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1821F9">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681178F5" w14:textId="0ADDED79" w:rsidR="00494309" w:rsidRDefault="007C7715" w:rsidP="00F44B33">
      <w:pPr>
        <w:pStyle w:val="BodyText"/>
        <w:rPr>
          <w:rFonts w:ascii="Arial" w:hAnsi="Arial" w:cs="Arial"/>
          <w:b/>
          <w:color w:val="0000FF"/>
          <w:sz w:val="24"/>
          <w:lang w:val="ro-RO"/>
        </w:rPr>
      </w:pPr>
      <w:r w:rsidRPr="007C7715">
        <w:rPr>
          <w:rFonts w:ascii="Arial" w:hAnsi="Arial" w:cs="Arial"/>
          <w:b/>
          <w:color w:val="0000FF"/>
          <w:sz w:val="24"/>
          <w:lang w:val="ro-RO"/>
        </w:rPr>
        <w:t>Servicii de inchiriere echipamente si decor AutoConnect Expo</w:t>
      </w:r>
    </w:p>
    <w:p w14:paraId="3D3ADD95" w14:textId="77777777" w:rsidR="007C7715" w:rsidRPr="00E27525" w:rsidRDefault="007C7715"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rsidSect="001821F9">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395BADCE"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proofErr w:type="spellStart"/>
      <w:r w:rsidR="007C7715" w:rsidRPr="007C7715">
        <w:rPr>
          <w:rFonts w:asciiTheme="minorHAnsi" w:hAnsiTheme="minorHAnsi" w:cstheme="minorHAnsi"/>
          <w:b/>
          <w:i/>
          <w:iCs/>
        </w:rPr>
        <w:t>Servicii</w:t>
      </w:r>
      <w:proofErr w:type="spellEnd"/>
      <w:r w:rsidR="007C7715" w:rsidRPr="007C7715">
        <w:rPr>
          <w:rFonts w:asciiTheme="minorHAnsi" w:hAnsiTheme="minorHAnsi" w:cstheme="minorHAnsi"/>
          <w:b/>
          <w:i/>
          <w:iCs/>
        </w:rPr>
        <w:t xml:space="preserve"> de </w:t>
      </w:r>
      <w:proofErr w:type="spellStart"/>
      <w:r w:rsidR="007C7715" w:rsidRPr="007C7715">
        <w:rPr>
          <w:rFonts w:asciiTheme="minorHAnsi" w:hAnsiTheme="minorHAnsi" w:cstheme="minorHAnsi"/>
          <w:b/>
          <w:i/>
          <w:iCs/>
        </w:rPr>
        <w:t>inchiriere</w:t>
      </w:r>
      <w:proofErr w:type="spellEnd"/>
      <w:r w:rsidR="007C7715" w:rsidRPr="007C7715">
        <w:rPr>
          <w:rFonts w:asciiTheme="minorHAnsi" w:hAnsiTheme="minorHAnsi" w:cstheme="minorHAnsi"/>
          <w:b/>
          <w:i/>
          <w:iCs/>
        </w:rPr>
        <w:t xml:space="preserve"> </w:t>
      </w:r>
      <w:proofErr w:type="spellStart"/>
      <w:r w:rsidR="007C7715" w:rsidRPr="007C7715">
        <w:rPr>
          <w:rFonts w:asciiTheme="minorHAnsi" w:hAnsiTheme="minorHAnsi" w:cstheme="minorHAnsi"/>
          <w:b/>
          <w:i/>
          <w:iCs/>
        </w:rPr>
        <w:t>echipamente</w:t>
      </w:r>
      <w:proofErr w:type="spellEnd"/>
      <w:r w:rsidR="007C7715" w:rsidRPr="007C7715">
        <w:rPr>
          <w:rFonts w:asciiTheme="minorHAnsi" w:hAnsiTheme="minorHAnsi" w:cstheme="minorHAnsi"/>
          <w:b/>
          <w:i/>
          <w:iCs/>
        </w:rPr>
        <w:t xml:space="preserve"> </w:t>
      </w:r>
      <w:proofErr w:type="spellStart"/>
      <w:r w:rsidR="007C7715" w:rsidRPr="007C7715">
        <w:rPr>
          <w:rFonts w:asciiTheme="minorHAnsi" w:hAnsiTheme="minorHAnsi" w:cstheme="minorHAnsi"/>
          <w:b/>
          <w:i/>
          <w:iCs/>
        </w:rPr>
        <w:t>si</w:t>
      </w:r>
      <w:proofErr w:type="spellEnd"/>
      <w:r w:rsidR="007C7715" w:rsidRPr="007C7715">
        <w:rPr>
          <w:rFonts w:asciiTheme="minorHAnsi" w:hAnsiTheme="minorHAnsi" w:cstheme="minorHAnsi"/>
          <w:b/>
          <w:i/>
          <w:iCs/>
        </w:rPr>
        <w:t xml:space="preserve"> decor </w:t>
      </w:r>
      <w:proofErr w:type="spellStart"/>
      <w:r w:rsidR="007C7715" w:rsidRPr="007C7715">
        <w:rPr>
          <w:rFonts w:asciiTheme="minorHAnsi" w:hAnsiTheme="minorHAnsi" w:cstheme="minorHAnsi"/>
          <w:b/>
          <w:i/>
          <w:iCs/>
        </w:rPr>
        <w:t>AutoConnect</w:t>
      </w:r>
      <w:proofErr w:type="spellEnd"/>
      <w:r w:rsidR="007C7715" w:rsidRPr="007C7715">
        <w:rPr>
          <w:rFonts w:asciiTheme="minorHAnsi" w:hAnsiTheme="minorHAnsi" w:cstheme="minorHAnsi"/>
          <w:b/>
          <w:i/>
          <w:iCs/>
        </w:rPr>
        <w:t xml:space="preserve"> Expo</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bani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1821F9">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89BBE" w14:textId="77777777" w:rsidR="001821F9" w:rsidRDefault="001821F9">
      <w:r>
        <w:separator/>
      </w:r>
    </w:p>
  </w:endnote>
  <w:endnote w:type="continuationSeparator" w:id="0">
    <w:p w14:paraId="3B30978C" w14:textId="77777777" w:rsidR="001821F9" w:rsidRDefault="0018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928FF" w14:textId="77777777" w:rsidR="001821F9" w:rsidRDefault="001821F9">
      <w:bookmarkStart w:id="0" w:name="_Hlk525112872"/>
      <w:bookmarkEnd w:id="0"/>
      <w:r>
        <w:separator/>
      </w:r>
    </w:p>
  </w:footnote>
  <w:footnote w:type="continuationSeparator" w:id="0">
    <w:p w14:paraId="26BD8D45" w14:textId="77777777" w:rsidR="001821F9" w:rsidRDefault="0018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154B3"/>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51A0"/>
    <w:rsid w:val="00157C5D"/>
    <w:rsid w:val="00163333"/>
    <w:rsid w:val="0016352A"/>
    <w:rsid w:val="00167B10"/>
    <w:rsid w:val="00171F9D"/>
    <w:rsid w:val="00173D3A"/>
    <w:rsid w:val="00181493"/>
    <w:rsid w:val="001821F9"/>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2F01"/>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94309"/>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076D8"/>
    <w:rsid w:val="00507722"/>
    <w:rsid w:val="00516240"/>
    <w:rsid w:val="00524FDB"/>
    <w:rsid w:val="00530252"/>
    <w:rsid w:val="00535B47"/>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1476"/>
    <w:rsid w:val="00793CF8"/>
    <w:rsid w:val="00796950"/>
    <w:rsid w:val="0079795E"/>
    <w:rsid w:val="007A0AC8"/>
    <w:rsid w:val="007A0D14"/>
    <w:rsid w:val="007A4747"/>
    <w:rsid w:val="007B21AE"/>
    <w:rsid w:val="007B39F5"/>
    <w:rsid w:val="007B42E9"/>
    <w:rsid w:val="007B6ABD"/>
    <w:rsid w:val="007B6CDA"/>
    <w:rsid w:val="007C7700"/>
    <w:rsid w:val="007C7715"/>
    <w:rsid w:val="007D046E"/>
    <w:rsid w:val="007D59AD"/>
    <w:rsid w:val="007D732F"/>
    <w:rsid w:val="007E065F"/>
    <w:rsid w:val="007E32E2"/>
    <w:rsid w:val="007E4F58"/>
    <w:rsid w:val="007E59EA"/>
    <w:rsid w:val="007F66CC"/>
    <w:rsid w:val="007F6BC9"/>
    <w:rsid w:val="008026A9"/>
    <w:rsid w:val="00805943"/>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1A97"/>
    <w:rsid w:val="00905484"/>
    <w:rsid w:val="00906C57"/>
    <w:rsid w:val="00915772"/>
    <w:rsid w:val="00921FBC"/>
    <w:rsid w:val="00924241"/>
    <w:rsid w:val="009256E3"/>
    <w:rsid w:val="009321E8"/>
    <w:rsid w:val="00932ECE"/>
    <w:rsid w:val="00933C25"/>
    <w:rsid w:val="0094659B"/>
    <w:rsid w:val="00946FF3"/>
    <w:rsid w:val="00955959"/>
    <w:rsid w:val="0095685B"/>
    <w:rsid w:val="00963797"/>
    <w:rsid w:val="0096439A"/>
    <w:rsid w:val="00970825"/>
    <w:rsid w:val="0097637C"/>
    <w:rsid w:val="00981E3E"/>
    <w:rsid w:val="00985E5F"/>
    <w:rsid w:val="00991AD3"/>
    <w:rsid w:val="00992FD2"/>
    <w:rsid w:val="009A0FBD"/>
    <w:rsid w:val="009A5B4C"/>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0C8F"/>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062A6"/>
    <w:rsid w:val="00E124E4"/>
    <w:rsid w:val="00E130B2"/>
    <w:rsid w:val="00E153BC"/>
    <w:rsid w:val="00E17EAE"/>
    <w:rsid w:val="00E17FF2"/>
    <w:rsid w:val="00E22C1D"/>
    <w:rsid w:val="00E22EBD"/>
    <w:rsid w:val="00E27525"/>
    <w:rsid w:val="00E33CD7"/>
    <w:rsid w:val="00E3499E"/>
    <w:rsid w:val="00E35827"/>
    <w:rsid w:val="00E46DAA"/>
    <w:rsid w:val="00E47551"/>
    <w:rsid w:val="00E51FF7"/>
    <w:rsid w:val="00E526BA"/>
    <w:rsid w:val="00E55844"/>
    <w:rsid w:val="00E56C3A"/>
    <w:rsid w:val="00E6678E"/>
    <w:rsid w:val="00E72563"/>
    <w:rsid w:val="00E81ADE"/>
    <w:rsid w:val="00E82E68"/>
    <w:rsid w:val="00E839F5"/>
    <w:rsid w:val="00EA7FB4"/>
    <w:rsid w:val="00EB2910"/>
    <w:rsid w:val="00EB4879"/>
    <w:rsid w:val="00EB724C"/>
    <w:rsid w:val="00ED13D8"/>
    <w:rsid w:val="00ED1E75"/>
    <w:rsid w:val="00ED6A93"/>
    <w:rsid w:val="00EE04D4"/>
    <w:rsid w:val="00EE0EAA"/>
    <w:rsid w:val="00EE11E2"/>
    <w:rsid w:val="00EF5079"/>
    <w:rsid w:val="00F039B8"/>
    <w:rsid w:val="00F045C2"/>
    <w:rsid w:val="00F07E6F"/>
    <w:rsid w:val="00F10F53"/>
    <w:rsid w:val="00F163E5"/>
    <w:rsid w:val="00F2541B"/>
    <w:rsid w:val="00F3277F"/>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11875</Words>
  <Characters>67694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3</cp:revision>
  <cp:lastPrinted>2023-05-18T11:19:00Z</cp:lastPrinted>
  <dcterms:created xsi:type="dcterms:W3CDTF">2024-04-16T12:32:00Z</dcterms:created>
  <dcterms:modified xsi:type="dcterms:W3CDTF">2024-04-16T12:35:00Z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