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8D36C7A" w14:textId="77777777" w:rsidR="00BB4E9F" w:rsidRPr="00683E26" w:rsidRDefault="00BB4E9F" w:rsidP="00BB4E9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3D5B9" w14:textId="6C6C76D0" w:rsidR="00D30E63" w:rsidRPr="00683E26" w:rsidRDefault="00293BB5" w:rsidP="00D30E63">
      <w:pPr>
        <w:pStyle w:val="BodyText"/>
        <w:spacing w:line="276" w:lineRule="auto"/>
        <w:jc w:val="center"/>
        <w:rPr>
          <w:b/>
          <w:bCs/>
          <w:iCs/>
          <w:color w:val="000000" w:themeColor="text1"/>
          <w:sz w:val="28"/>
          <w:szCs w:val="28"/>
          <w:lang w:val="ro-RO"/>
        </w:rPr>
      </w:pPr>
      <w:r>
        <w:rPr>
          <w:b/>
          <w:bCs/>
          <w:iCs/>
          <w:color w:val="000000" w:themeColor="text1"/>
          <w:sz w:val="28"/>
          <w:szCs w:val="28"/>
          <w:lang w:val="ro-RO"/>
        </w:rPr>
        <w:t>Zilele portilor deschise la POLITEHNICA Bucuresti</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bookmarkStart w:id="1" w:name="Cap1"/>
    <w:p w14:paraId="38FCDE96" w14:textId="55920927" w:rsidR="0020428D" w:rsidRPr="00683E26" w:rsidRDefault="005E3EA8" w:rsidP="00F96BB5">
      <w:pPr>
        <w:pStyle w:val="BodyText"/>
        <w:spacing w:line="276" w:lineRule="auto"/>
        <w:jc w:val="both"/>
        <w:rPr>
          <w:b/>
          <w:bCs/>
          <w:color w:val="000000" w:themeColor="text1"/>
          <w:sz w:val="24"/>
          <w:szCs w:val="24"/>
          <w:lang w:val="ro-RO"/>
        </w:rPr>
      </w:pPr>
      <w:r>
        <w:lastRenderedPageBreak/>
        <w:fldChar w:fldCharType="begin"/>
      </w:r>
      <w:r>
        <w:instrText>HYPERLINK \l "Cuprins"</w:instrText>
      </w:r>
      <w:r>
        <w:fldChar w:fldCharType="separate"/>
      </w:r>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r>
        <w:rPr>
          <w:rStyle w:val="Hyperlink"/>
          <w:b/>
          <w:bCs/>
          <w:color w:val="000000" w:themeColor="text1"/>
          <w:sz w:val="24"/>
          <w:szCs w:val="24"/>
          <w:lang w:val="ro-RO"/>
        </w:rPr>
        <w:fldChar w:fldCharType="end"/>
      </w:r>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14F1E888"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293BB5" w:rsidRPr="00293BB5">
        <w:rPr>
          <w:b/>
          <w:bCs/>
          <w:sz w:val="24"/>
          <w:szCs w:val="24"/>
          <w:lang w:val="ro-RO"/>
        </w:rPr>
        <w:t>Zilele porților deschise la POLITEHNICA București</w:t>
      </w:r>
      <w:r w:rsidR="003F187F" w:rsidRPr="00683E26">
        <w:rPr>
          <w:sz w:val="24"/>
          <w:szCs w:val="24"/>
          <w:lang w:val="ro-RO"/>
        </w:rPr>
        <w:t>.</w:t>
      </w:r>
    </w:p>
    <w:p w14:paraId="7EB96386" w14:textId="77777777" w:rsidR="00293BB5" w:rsidRPr="00293BB5" w:rsidRDefault="003F187F" w:rsidP="00293BB5">
      <w:pPr>
        <w:spacing w:line="276" w:lineRule="auto"/>
        <w:jc w:val="both"/>
        <w:rPr>
          <w:sz w:val="24"/>
          <w:szCs w:val="24"/>
          <w:lang w:val="ro-RO"/>
        </w:rPr>
      </w:pPr>
      <w:r w:rsidRPr="00050B84">
        <w:rPr>
          <w:sz w:val="24"/>
          <w:szCs w:val="24"/>
          <w:lang w:val="ro-RO"/>
        </w:rPr>
        <w:tab/>
      </w:r>
      <w:bookmarkStart w:id="2" w:name="Cap2"/>
      <w:r w:rsidR="00293BB5" w:rsidRPr="00293BB5">
        <w:rPr>
          <w:sz w:val="24"/>
          <w:szCs w:val="24"/>
          <w:lang w:val="ro-RO"/>
        </w:rPr>
        <w:t xml:space="preserve">În perioada 18-20 aprilie 2024, 2.400 studenți, elevi și profesori din unitățile de învățământ preuniversitar vor fi invitați să participe la Zilele porților deschise la POLITEHNICA București, un eveniment în cadrul căruia vor fi organizate conferințe științifice, workshop-uri, expoziții de echipamente și noi tehnologii, prezentări ale ofertelor educaționale, dar și ale oportunităților de angajare, concursuri motivaționale, precum și alte manifestări conexe. </w:t>
      </w:r>
    </w:p>
    <w:p w14:paraId="626E2BCD" w14:textId="292C0D15" w:rsidR="003F187F" w:rsidRDefault="00293BB5" w:rsidP="00293BB5">
      <w:pPr>
        <w:spacing w:line="276" w:lineRule="auto"/>
        <w:jc w:val="both"/>
        <w:rPr>
          <w:sz w:val="24"/>
          <w:szCs w:val="24"/>
          <w:lang w:val="ro-RO"/>
        </w:rPr>
      </w:pPr>
      <w:r w:rsidRPr="00293BB5">
        <w:rPr>
          <w:sz w:val="24"/>
          <w:szCs w:val="24"/>
          <w:lang w:val="ro-RO"/>
        </w:rPr>
        <w:t>În timpul celor de 3 zile de eveniment, cadre didactice universitare, personal administrativ și auxiliar, reprezentanți ai mediului economic, ai instituțiilor și autorităților din educație și de reglementare din domeniile științifice și inginerești se vor reuni pentru a aduce în atenția studenților, elevilor și profesorilor din mediul preuniversitar ultimele inovații și perspective de viitor din domeniile de studiu ale POLITEHNICII București.</w:t>
      </w:r>
    </w:p>
    <w:p w14:paraId="567DF31A" w14:textId="77777777" w:rsidR="00293BB5" w:rsidRDefault="00293BB5" w:rsidP="00293BB5">
      <w:pPr>
        <w:spacing w:line="276" w:lineRule="auto"/>
        <w:jc w:val="both"/>
        <w:rPr>
          <w:sz w:val="24"/>
          <w:szCs w:val="24"/>
          <w:lang w:val="ro-RO"/>
        </w:rPr>
      </w:pPr>
    </w:p>
    <w:p w14:paraId="3AD8FC21" w14:textId="77777777" w:rsidR="00293BB5" w:rsidRDefault="00293BB5" w:rsidP="00293BB5">
      <w:pPr>
        <w:spacing w:line="276" w:lineRule="auto"/>
        <w:jc w:val="both"/>
        <w:rPr>
          <w:sz w:val="24"/>
          <w:szCs w:val="24"/>
          <w:lang w:val="ro-RO"/>
        </w:rPr>
      </w:pPr>
    </w:p>
    <w:p w14:paraId="7F0133C1" w14:textId="77777777" w:rsidR="00293BB5" w:rsidRPr="00683E26" w:rsidRDefault="00293BB5" w:rsidP="00293BB5">
      <w:pPr>
        <w:spacing w:line="276" w:lineRule="auto"/>
        <w:jc w:val="both"/>
        <w:rPr>
          <w:b/>
          <w:bCs/>
          <w:color w:val="000000" w:themeColor="text1"/>
          <w:sz w:val="24"/>
          <w:szCs w:val="24"/>
          <w:lang w:val="ro-RO"/>
        </w:rPr>
      </w:pPr>
    </w:p>
    <w:p w14:paraId="17472A6B" w14:textId="77777777" w:rsidR="005E3EA8" w:rsidRDefault="005E3EA8" w:rsidP="00F96BB5">
      <w:pPr>
        <w:pStyle w:val="BodyText"/>
        <w:spacing w:line="276" w:lineRule="auto"/>
        <w:jc w:val="both"/>
      </w:pPr>
    </w:p>
    <w:p w14:paraId="2BCF5422" w14:textId="3FD2DBCD"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Start w:id="3" w:name="Cap2_1"/>
    <w:bookmarkEnd w:id="2"/>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14D25658"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BB4E9F">
        <w:rPr>
          <w:color w:val="000000" w:themeColor="text1"/>
          <w:sz w:val="24"/>
          <w:szCs w:val="24"/>
          <w:lang w:val="ro-RO"/>
        </w:rPr>
        <w:t>inchiere echipamente si decor</w:t>
      </w:r>
      <w:r w:rsidR="003F187F" w:rsidRPr="00683E26">
        <w:rPr>
          <w:color w:val="000000" w:themeColor="text1"/>
          <w:sz w:val="24"/>
          <w:szCs w:val="24"/>
          <w:lang w:val="ro-RO"/>
        </w:rPr>
        <w:t xml:space="preserve"> pentru evenimentul </w:t>
      </w:r>
      <w:r w:rsidR="00293BB5" w:rsidRPr="00293BB5">
        <w:rPr>
          <w:b/>
          <w:bCs/>
          <w:sz w:val="24"/>
          <w:szCs w:val="24"/>
          <w:lang w:val="ro-RO"/>
        </w:rPr>
        <w:t>Zilele porților deschise la POLITEHNICA București</w:t>
      </w:r>
      <w:r w:rsidR="003F187F" w:rsidRPr="00683E26">
        <w:rPr>
          <w:color w:val="000000" w:themeColor="text1"/>
          <w:sz w:val="24"/>
          <w:szCs w:val="24"/>
          <w:lang w:val="ro-RO"/>
        </w:rPr>
        <w:t xml:space="preserve">, la care sunt așteptați să participe </w:t>
      </w:r>
      <w:r w:rsidR="00293BB5">
        <w:rPr>
          <w:color w:val="000000" w:themeColor="text1"/>
          <w:sz w:val="24"/>
          <w:szCs w:val="24"/>
          <w:lang w:val="ro-RO"/>
        </w:rPr>
        <w:t>24</w:t>
      </w:r>
      <w:r w:rsidR="00050B84">
        <w:rPr>
          <w:color w:val="000000" w:themeColor="text1"/>
          <w:sz w:val="24"/>
          <w:szCs w:val="24"/>
          <w:lang w:val="ro-RO"/>
        </w:rPr>
        <w:t>00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71FC2344"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DE29A1">
        <w:rPr>
          <w:b/>
          <w:bCs/>
          <w:color w:val="000000" w:themeColor="text1"/>
          <w:sz w:val="24"/>
          <w:szCs w:val="24"/>
          <w:lang w:val="ro-RO"/>
        </w:rPr>
        <w:t>1</w:t>
      </w:r>
      <w:r w:rsidR="00293BB5">
        <w:rPr>
          <w:b/>
          <w:bCs/>
          <w:color w:val="000000" w:themeColor="text1"/>
          <w:sz w:val="24"/>
          <w:szCs w:val="24"/>
          <w:lang w:val="ro-RO"/>
        </w:rPr>
        <w:t>6</w:t>
      </w:r>
      <w:r w:rsidR="00571AB9">
        <w:rPr>
          <w:b/>
          <w:bCs/>
          <w:color w:val="000000" w:themeColor="text1"/>
          <w:sz w:val="24"/>
          <w:szCs w:val="24"/>
          <w:lang w:val="ro-RO"/>
        </w:rPr>
        <w:t xml:space="preserve"> </w:t>
      </w:r>
      <w:r w:rsidR="0024786C">
        <w:rPr>
          <w:b/>
          <w:bCs/>
          <w:color w:val="000000" w:themeColor="text1"/>
          <w:sz w:val="24"/>
          <w:szCs w:val="24"/>
          <w:lang w:val="ro-RO"/>
        </w:rPr>
        <w:t>aprilie</w:t>
      </w:r>
      <w:r w:rsidR="00571AB9">
        <w:rPr>
          <w:b/>
          <w:bCs/>
          <w:color w:val="000000" w:themeColor="text1"/>
          <w:sz w:val="24"/>
          <w:szCs w:val="24"/>
          <w:lang w:val="ro-RO"/>
        </w:rPr>
        <w:t xml:space="preserve"> </w:t>
      </w:r>
      <w:r w:rsidR="00050B84">
        <w:rPr>
          <w:b/>
          <w:bCs/>
          <w:color w:val="000000" w:themeColor="text1"/>
          <w:sz w:val="24"/>
          <w:szCs w:val="24"/>
          <w:lang w:val="ro-RO"/>
        </w:rPr>
        <w:t>-</w:t>
      </w:r>
      <w:r w:rsidR="00606FBE">
        <w:rPr>
          <w:b/>
          <w:bCs/>
          <w:color w:val="000000" w:themeColor="text1"/>
          <w:sz w:val="24"/>
          <w:szCs w:val="24"/>
          <w:lang w:val="ro-RO"/>
        </w:rPr>
        <w:t xml:space="preserve"> </w:t>
      </w:r>
      <w:r w:rsidR="00293BB5">
        <w:rPr>
          <w:b/>
          <w:bCs/>
          <w:color w:val="000000" w:themeColor="text1"/>
          <w:sz w:val="24"/>
          <w:szCs w:val="24"/>
          <w:lang w:val="ro-RO"/>
        </w:rPr>
        <w:t>21</w:t>
      </w:r>
      <w:r w:rsidR="00050B84">
        <w:rPr>
          <w:b/>
          <w:bCs/>
          <w:color w:val="000000" w:themeColor="text1"/>
          <w:sz w:val="24"/>
          <w:szCs w:val="24"/>
          <w:lang w:val="ro-RO"/>
        </w:rPr>
        <w:t xml:space="preserve"> </w:t>
      </w:r>
      <w:r w:rsidR="00DE29A1">
        <w:rPr>
          <w:b/>
          <w:bCs/>
          <w:color w:val="000000" w:themeColor="text1"/>
          <w:sz w:val="24"/>
          <w:szCs w:val="24"/>
          <w:lang w:val="ro-RO"/>
        </w:rPr>
        <w:t>aprilie</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6E4CABCD"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24786C">
        <w:rPr>
          <w:color w:val="000000" w:themeColor="text1"/>
          <w:sz w:val="24"/>
          <w:szCs w:val="24"/>
          <w:lang w:val="ro-RO"/>
        </w:rPr>
        <w:t>1</w:t>
      </w:r>
      <w:r w:rsidR="00293BB5">
        <w:rPr>
          <w:color w:val="000000" w:themeColor="text1"/>
          <w:sz w:val="24"/>
          <w:szCs w:val="24"/>
          <w:lang w:val="ro-RO"/>
        </w:rPr>
        <w:t>8</w:t>
      </w:r>
      <w:r w:rsidR="00050B84">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08:00 până în data de </w:t>
      </w:r>
      <w:r w:rsidR="00293BB5">
        <w:rPr>
          <w:color w:val="000000" w:themeColor="text1"/>
          <w:sz w:val="24"/>
          <w:szCs w:val="24"/>
          <w:lang w:val="ro-RO"/>
        </w:rPr>
        <w:t>20</w:t>
      </w:r>
      <w:r w:rsidR="003F187F" w:rsidRPr="00683E26">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w:t>
      </w:r>
      <w:r w:rsidR="00050B84">
        <w:rPr>
          <w:color w:val="000000" w:themeColor="text1"/>
          <w:sz w:val="24"/>
          <w:szCs w:val="24"/>
          <w:lang w:val="ro-RO"/>
        </w:rPr>
        <w:t>18</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13E7EA41"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BB4E9F">
        <w:rPr>
          <w:color w:val="000000" w:themeColor="text1"/>
          <w:sz w:val="24"/>
          <w:szCs w:val="24"/>
          <w:lang w:val="ro-RO"/>
        </w:rPr>
        <w:t>inchiriere echipamente si decor</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282157C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lastRenderedPageBreak/>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F82A21" w:rsidRPr="00683E26" w14:paraId="36722B7E" w14:textId="77777777" w:rsidTr="00E762D8">
        <w:trPr>
          <w:trHeight w:val="440"/>
        </w:trPr>
        <w:tc>
          <w:tcPr>
            <w:tcW w:w="636" w:type="dxa"/>
            <w:vAlign w:val="center"/>
          </w:tcPr>
          <w:bookmarkEnd w:id="4"/>
          <w:p w14:paraId="3EA05943"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288D36C8"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C7B6F85"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Descriere</w:t>
            </w:r>
          </w:p>
        </w:tc>
      </w:tr>
      <w:tr w:rsidR="00F82A21" w:rsidRPr="00566BA9" w14:paraId="193CEFFD" w14:textId="77777777" w:rsidTr="00E762D8">
        <w:trPr>
          <w:trHeight w:val="1214"/>
        </w:trPr>
        <w:tc>
          <w:tcPr>
            <w:tcW w:w="636" w:type="dxa"/>
            <w:vAlign w:val="center"/>
          </w:tcPr>
          <w:p w14:paraId="41EB8FAE" w14:textId="2E558F81" w:rsidR="00F82A21" w:rsidRPr="00683E26" w:rsidRDefault="0056379D" w:rsidP="00E762D8">
            <w:pPr>
              <w:spacing w:line="276" w:lineRule="auto"/>
              <w:jc w:val="center"/>
              <w:rPr>
                <w:lang w:val="ro-RO"/>
              </w:rPr>
            </w:pPr>
            <w:r>
              <w:rPr>
                <w:lang w:val="ro-RO"/>
              </w:rPr>
              <w:t>1</w:t>
            </w:r>
          </w:p>
        </w:tc>
        <w:tc>
          <w:tcPr>
            <w:tcW w:w="3470" w:type="dxa"/>
            <w:vAlign w:val="center"/>
          </w:tcPr>
          <w:p w14:paraId="04F3CB86" w14:textId="77777777" w:rsidR="00F82A21" w:rsidRPr="00683E26" w:rsidRDefault="00F82A21" w:rsidP="00E762D8">
            <w:pPr>
              <w:widowControl/>
              <w:autoSpaceDE/>
              <w:autoSpaceDN/>
              <w:contextualSpacing/>
              <w:rPr>
                <w:lang w:val="ro-RO"/>
              </w:rPr>
            </w:pPr>
            <w:r w:rsidRPr="006D1C19">
              <w:rPr>
                <w:lang w:val="ro-RO"/>
              </w:rPr>
              <w:t>ELECTRIC</w:t>
            </w:r>
            <w:r>
              <w:rPr>
                <w:lang w:val="ro-RO"/>
              </w:rPr>
              <w:t>Ă</w:t>
            </w:r>
          </w:p>
        </w:tc>
        <w:tc>
          <w:tcPr>
            <w:tcW w:w="5812" w:type="dxa"/>
            <w:vAlign w:val="center"/>
          </w:tcPr>
          <w:p w14:paraId="5439CF31" w14:textId="71B8E983"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w:t>
            </w:r>
            <w:r>
              <w:rPr>
                <w:sz w:val="24"/>
                <w:szCs w:val="24"/>
                <w:lang w:val="ro-RO"/>
              </w:rPr>
              <w:t>5x6mm, lungime</w:t>
            </w:r>
            <w:r w:rsidRPr="00D92915">
              <w:rPr>
                <w:sz w:val="24"/>
                <w:szCs w:val="24"/>
                <w:lang w:val="ro-RO"/>
              </w:rPr>
              <w:t xml:space="preserve"> 20m, </w:t>
            </w:r>
            <w:r w:rsidR="005F520B">
              <w:rPr>
                <w:sz w:val="24"/>
                <w:szCs w:val="24"/>
                <w:lang w:val="ro-RO"/>
              </w:rPr>
              <w:t>3</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48CE7C8B" w14:textId="705F6B40"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sidR="005F520B">
              <w:rPr>
                <w:sz w:val="24"/>
                <w:szCs w:val="24"/>
                <w:lang w:val="ro-RO"/>
              </w:rPr>
              <w:t>3</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48CAFFF"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144898C4" w14:textId="22A6E975"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sidR="0056379D">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243ED34D" w14:textId="77777777" w:rsidR="00F82A21" w:rsidRPr="0001610E"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F82A21" w:rsidRPr="00683E26" w14:paraId="4796A469" w14:textId="77777777" w:rsidTr="00E762D8">
        <w:trPr>
          <w:trHeight w:val="1214"/>
        </w:trPr>
        <w:tc>
          <w:tcPr>
            <w:tcW w:w="636" w:type="dxa"/>
            <w:vAlign w:val="center"/>
          </w:tcPr>
          <w:p w14:paraId="51CF8D88" w14:textId="757EB553" w:rsidR="00F82A21" w:rsidRPr="00683E26" w:rsidRDefault="0056379D" w:rsidP="00E762D8">
            <w:pPr>
              <w:spacing w:line="276" w:lineRule="auto"/>
              <w:jc w:val="center"/>
              <w:rPr>
                <w:lang w:val="ro-RO"/>
              </w:rPr>
            </w:pPr>
            <w:r>
              <w:rPr>
                <w:lang w:val="ro-RO"/>
              </w:rPr>
              <w:t>2</w:t>
            </w:r>
            <w:r w:rsidR="00F82A21" w:rsidRPr="00683E26">
              <w:rPr>
                <w:lang w:val="ro-RO"/>
              </w:rPr>
              <w:t xml:space="preserve"> </w:t>
            </w:r>
          </w:p>
        </w:tc>
        <w:tc>
          <w:tcPr>
            <w:tcW w:w="3470" w:type="dxa"/>
            <w:vAlign w:val="center"/>
          </w:tcPr>
          <w:p w14:paraId="22758555" w14:textId="77777777" w:rsidR="00F82A21" w:rsidRPr="00683E26" w:rsidRDefault="00F82A21" w:rsidP="00E762D8">
            <w:pPr>
              <w:widowControl/>
              <w:autoSpaceDE/>
              <w:autoSpaceDN/>
              <w:contextualSpacing/>
              <w:rPr>
                <w:lang w:val="ro-RO"/>
              </w:rPr>
            </w:pPr>
            <w:r w:rsidRPr="00637150">
              <w:rPr>
                <w:lang w:val="ro-RO"/>
              </w:rPr>
              <w:t>ACCESORII</w:t>
            </w:r>
          </w:p>
        </w:tc>
        <w:tc>
          <w:tcPr>
            <w:tcW w:w="5812" w:type="dxa"/>
            <w:vAlign w:val="center"/>
          </w:tcPr>
          <w:p w14:paraId="1188C913" w14:textId="7A6177CA"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ie pentru cabluri electrice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F82A21" w:rsidRPr="00566BA9" w14:paraId="01C321CA" w14:textId="77777777" w:rsidTr="00E762D8">
        <w:trPr>
          <w:trHeight w:val="1214"/>
        </w:trPr>
        <w:tc>
          <w:tcPr>
            <w:tcW w:w="636" w:type="dxa"/>
            <w:vAlign w:val="center"/>
          </w:tcPr>
          <w:p w14:paraId="792E270F" w14:textId="0EB3DD3A" w:rsidR="00F82A21" w:rsidRPr="00683E26" w:rsidRDefault="0056379D" w:rsidP="00E762D8">
            <w:pPr>
              <w:spacing w:line="276" w:lineRule="auto"/>
              <w:jc w:val="center"/>
              <w:rPr>
                <w:lang w:val="ro-RO"/>
              </w:rPr>
            </w:pPr>
            <w:r>
              <w:rPr>
                <w:lang w:val="ro-RO"/>
              </w:rPr>
              <w:t>3</w:t>
            </w:r>
          </w:p>
        </w:tc>
        <w:tc>
          <w:tcPr>
            <w:tcW w:w="3470" w:type="dxa"/>
            <w:vAlign w:val="center"/>
          </w:tcPr>
          <w:p w14:paraId="7A9D5F42" w14:textId="77777777" w:rsidR="00F82A21" w:rsidRPr="00683E26" w:rsidRDefault="00F82A21" w:rsidP="00E762D8">
            <w:pPr>
              <w:widowControl/>
              <w:autoSpaceDE/>
              <w:autoSpaceDN/>
              <w:contextualSpacing/>
              <w:rPr>
                <w:lang w:val="ro-RO"/>
              </w:rPr>
            </w:pPr>
            <w:r>
              <w:rPr>
                <w:lang w:val="ro-RO"/>
              </w:rPr>
              <w:t>LOGISTICĂ</w:t>
            </w:r>
          </w:p>
        </w:tc>
        <w:tc>
          <w:tcPr>
            <w:tcW w:w="5812" w:type="dxa"/>
            <w:vAlign w:val="center"/>
          </w:tcPr>
          <w:p w14:paraId="025C6E14" w14:textId="3FE836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Masă pliabilă 180x80cm </w:t>
            </w:r>
            <w:r w:rsidRPr="00D66E09">
              <w:rPr>
                <w:rFonts w:eastAsia="ArialMT"/>
                <w:sz w:val="24"/>
                <w:szCs w:val="24"/>
                <w:lang w:val="ro-RO"/>
              </w:rPr>
              <w:t xml:space="preserve">– </w:t>
            </w:r>
            <w:r w:rsidR="005E3EA8">
              <w:rPr>
                <w:rFonts w:eastAsia="ArialMT"/>
                <w:sz w:val="24"/>
                <w:szCs w:val="24"/>
                <w:lang w:val="ro-RO"/>
              </w:rPr>
              <w:t>3</w:t>
            </w:r>
            <w:r w:rsidRPr="00D66E09">
              <w:rPr>
                <w:rFonts w:eastAsia="ArialMT"/>
                <w:sz w:val="24"/>
                <w:szCs w:val="24"/>
                <w:lang w:val="ro-RO"/>
              </w:rPr>
              <w:t>0</w:t>
            </w:r>
            <w:r>
              <w:rPr>
                <w:rFonts w:eastAsia="ArialMT"/>
                <w:sz w:val="24"/>
                <w:szCs w:val="24"/>
                <w:lang w:val="ro-RO"/>
              </w:rPr>
              <w:t xml:space="preserve"> buc</w:t>
            </w:r>
          </w:p>
          <w:p w14:paraId="677993A3" w14:textId="2169FD77" w:rsidR="0056379D" w:rsidRDefault="0056379D"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Masa 100x100 cm – </w:t>
            </w:r>
            <w:r w:rsidR="005E3EA8">
              <w:rPr>
                <w:rFonts w:eastAsia="ArialMT"/>
                <w:sz w:val="24"/>
                <w:szCs w:val="24"/>
                <w:lang w:val="ro-RO"/>
              </w:rPr>
              <w:t>20</w:t>
            </w:r>
            <w:r>
              <w:rPr>
                <w:rFonts w:eastAsia="ArialMT"/>
                <w:sz w:val="24"/>
                <w:szCs w:val="24"/>
                <w:lang w:val="ro-RO"/>
              </w:rPr>
              <w:t>0 bucati</w:t>
            </w:r>
          </w:p>
          <w:p w14:paraId="2EF79590" w14:textId="42FBA32F"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Scaun horeca – </w:t>
            </w:r>
            <w:r w:rsidR="0056379D">
              <w:rPr>
                <w:rFonts w:eastAsia="ArialMT"/>
                <w:sz w:val="24"/>
                <w:szCs w:val="24"/>
                <w:lang w:val="ro-RO"/>
              </w:rPr>
              <w:t>3</w:t>
            </w:r>
            <w:r>
              <w:rPr>
                <w:rFonts w:eastAsia="ArialMT"/>
                <w:sz w:val="24"/>
                <w:szCs w:val="24"/>
                <w:lang w:val="ro-RO"/>
              </w:rPr>
              <w:t>00 buc</w:t>
            </w:r>
          </w:p>
          <w:p w14:paraId="25E0EDB9" w14:textId="77777777" w:rsidR="00CE2349" w:rsidRDefault="00DD2B18" w:rsidP="00DD2B1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Standuri octanorm – 1000mp</w:t>
            </w:r>
          </w:p>
          <w:p w14:paraId="3B14EEC4" w14:textId="5F7ECAC9" w:rsidR="0056379D" w:rsidRDefault="0056379D" w:rsidP="00DD2B1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Mocheta – 1000mp</w:t>
            </w:r>
          </w:p>
          <w:p w14:paraId="70943BB2" w14:textId="0302AAA8" w:rsidR="00DD2B18" w:rsidRPr="00DD2B18" w:rsidRDefault="00DD2B18" w:rsidP="00DD2B18">
            <w:pPr>
              <w:widowControl/>
              <w:adjustRightInd w:val="0"/>
              <w:ind w:left="-37"/>
              <w:contextualSpacing/>
              <w:jc w:val="both"/>
              <w:rPr>
                <w:rFonts w:eastAsia="ArialMT"/>
                <w:sz w:val="24"/>
                <w:szCs w:val="24"/>
                <w:lang w:val="ro-RO"/>
              </w:rPr>
            </w:pPr>
          </w:p>
        </w:tc>
      </w:tr>
      <w:tr w:rsidR="005E3EA8" w:rsidRPr="00566BA9" w14:paraId="73F7C177" w14:textId="77777777" w:rsidTr="00F31C51">
        <w:trPr>
          <w:trHeight w:val="1214"/>
        </w:trPr>
        <w:tc>
          <w:tcPr>
            <w:tcW w:w="636" w:type="dxa"/>
            <w:vAlign w:val="center"/>
          </w:tcPr>
          <w:p w14:paraId="097C4F27" w14:textId="79090053" w:rsidR="005E3EA8" w:rsidRDefault="005E3EA8" w:rsidP="00F31C51">
            <w:pPr>
              <w:spacing w:line="276" w:lineRule="auto"/>
              <w:jc w:val="center"/>
              <w:rPr>
                <w:lang w:val="ro-RO"/>
              </w:rPr>
            </w:pPr>
            <w:r>
              <w:rPr>
                <w:lang w:val="ro-RO"/>
              </w:rPr>
              <w:t>4</w:t>
            </w:r>
          </w:p>
        </w:tc>
        <w:tc>
          <w:tcPr>
            <w:tcW w:w="3470" w:type="dxa"/>
            <w:vAlign w:val="center"/>
          </w:tcPr>
          <w:p w14:paraId="00F553C7" w14:textId="77777777" w:rsidR="005E3EA8" w:rsidRPr="00683E26" w:rsidRDefault="005E3EA8" w:rsidP="00F31C51">
            <w:pPr>
              <w:widowControl/>
              <w:autoSpaceDE/>
              <w:autoSpaceDN/>
              <w:contextualSpacing/>
              <w:rPr>
                <w:lang w:val="ro-RO"/>
              </w:rPr>
            </w:pPr>
            <w:r>
              <w:rPr>
                <w:lang w:val="ro-RO"/>
              </w:rPr>
              <w:t>DECOR</w:t>
            </w:r>
          </w:p>
        </w:tc>
        <w:tc>
          <w:tcPr>
            <w:tcW w:w="5812" w:type="dxa"/>
            <w:vAlign w:val="center"/>
          </w:tcPr>
          <w:p w14:paraId="5E9BAD24" w14:textId="77777777" w:rsidR="005E3EA8" w:rsidRDefault="005E3EA8" w:rsidP="00F31C5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154E3299" w14:textId="04977486" w:rsidR="005E3EA8" w:rsidRPr="005E3EA8" w:rsidRDefault="005E3EA8" w:rsidP="005E3EA8">
            <w:pPr>
              <w:widowControl/>
              <w:adjustRightInd w:val="0"/>
              <w:ind w:left="-37"/>
              <w:contextualSpacing/>
              <w:jc w:val="both"/>
              <w:rPr>
                <w:rFonts w:eastAsia="ArialMT"/>
                <w:sz w:val="24"/>
                <w:szCs w:val="24"/>
                <w:lang w:val="ro-RO"/>
              </w:rPr>
            </w:pPr>
          </w:p>
        </w:tc>
      </w:tr>
      <w:tr w:rsidR="00F82A21" w:rsidRPr="00683E26" w14:paraId="570F47B0" w14:textId="77777777" w:rsidTr="00E762D8">
        <w:trPr>
          <w:trHeight w:val="1214"/>
        </w:trPr>
        <w:tc>
          <w:tcPr>
            <w:tcW w:w="636" w:type="dxa"/>
            <w:vAlign w:val="center"/>
          </w:tcPr>
          <w:p w14:paraId="41932131" w14:textId="657996B4" w:rsidR="00F82A21" w:rsidRDefault="005E3EA8" w:rsidP="00E762D8">
            <w:pPr>
              <w:spacing w:line="276" w:lineRule="auto"/>
              <w:jc w:val="center"/>
              <w:rPr>
                <w:lang w:val="ro-RO"/>
              </w:rPr>
            </w:pPr>
            <w:r>
              <w:rPr>
                <w:lang w:val="ro-RO"/>
              </w:rPr>
              <w:t>5</w:t>
            </w:r>
          </w:p>
        </w:tc>
        <w:tc>
          <w:tcPr>
            <w:tcW w:w="3470" w:type="dxa"/>
            <w:vAlign w:val="center"/>
          </w:tcPr>
          <w:p w14:paraId="446D1C22" w14:textId="77777777" w:rsidR="00F82A21" w:rsidRPr="00683E26" w:rsidRDefault="00F82A21" w:rsidP="00E762D8">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28DD1B32" w14:textId="1A48C965"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456914A5"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3A90701C"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52193154" w14:textId="29115B86" w:rsidR="00F82A21" w:rsidRPr="00A60A2D" w:rsidRDefault="0056379D"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F82A21">
              <w:rPr>
                <w:rFonts w:eastAsia="ArialMT"/>
                <w:sz w:val="24"/>
                <w:szCs w:val="24"/>
                <w:lang w:val="ro-RO"/>
              </w:rPr>
              <w:t>0</w:t>
            </w:r>
            <w:r w:rsidR="00F82A21" w:rsidRPr="00A60A2D">
              <w:rPr>
                <w:rFonts w:eastAsia="ArialMT"/>
                <w:sz w:val="24"/>
                <w:szCs w:val="24"/>
                <w:lang w:val="ro-RO"/>
              </w:rPr>
              <w:t xml:space="preserve"> manipulan</w:t>
            </w:r>
            <w:r w:rsidR="00F82A21">
              <w:rPr>
                <w:rFonts w:eastAsia="ArialMT"/>
                <w:sz w:val="24"/>
                <w:szCs w:val="24"/>
                <w:lang w:val="ro-RO"/>
              </w:rPr>
              <w:t>ț</w:t>
            </w:r>
            <w:r w:rsidR="00F82A21" w:rsidRPr="00A60A2D">
              <w:rPr>
                <w:rFonts w:eastAsia="ArialMT"/>
                <w:sz w:val="24"/>
                <w:szCs w:val="24"/>
                <w:lang w:val="ro-RO"/>
              </w:rPr>
              <w:t>i</w:t>
            </w:r>
          </w:p>
          <w:p w14:paraId="2B863796"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26575ECE" w14:textId="77777777" w:rsidR="005E3EA8"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3004B650" w14:textId="77777777" w:rsidR="005E3EA8" w:rsidRDefault="005E3EA8" w:rsidP="00F96BB5">
      <w:pPr>
        <w:pStyle w:val="BodyText"/>
        <w:spacing w:line="276" w:lineRule="auto"/>
        <w:jc w:val="both"/>
        <w:rPr>
          <w:color w:val="000000" w:themeColor="text1"/>
          <w:sz w:val="24"/>
          <w:szCs w:val="24"/>
          <w:lang w:val="ro-RO"/>
        </w:rPr>
      </w:pPr>
    </w:p>
    <w:p w14:paraId="3B477668" w14:textId="00DCC1D5"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Plata serviciilor prestate se va efectua în termen de maxim 30 de zile de la primirea de către Achizitor a facturii emise de Ofertant la încheierea perioadei serviciilor prestate, încheiere consemnată </w:t>
      </w:r>
      <w:r w:rsidRPr="00683E26">
        <w:rPr>
          <w:color w:val="000000" w:themeColor="text1"/>
          <w:sz w:val="24"/>
          <w:szCs w:val="24"/>
          <w:lang w:val="ro-RO"/>
        </w:rPr>
        <w:lastRenderedPageBreak/>
        <w:t>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06C840A9" w14:textId="475310E7" w:rsidR="00967481"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sectPr w:rsidR="00967481" w:rsidRPr="00683E26" w:rsidSect="0081633A">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6D67A" w14:textId="77777777" w:rsidR="0081633A" w:rsidRDefault="0081633A" w:rsidP="00097BA5">
      <w:r>
        <w:separator/>
      </w:r>
    </w:p>
  </w:endnote>
  <w:endnote w:type="continuationSeparator" w:id="0">
    <w:p w14:paraId="3A8E8637" w14:textId="77777777" w:rsidR="0081633A" w:rsidRDefault="0081633A"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ArialMT">
    <w:altName w:val="MS Mincho"/>
    <w:panose1 w:val="00000000000000000000"/>
    <w:charset w:val="80"/>
    <w:family w:val="auto"/>
    <w:notTrueType/>
    <w:pitch w:val="default"/>
    <w:sig w:usb0="00002A87" w:usb1="08070000" w:usb2="00000010" w:usb3="00000000" w:csb0="000201FF"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D6D4D" w14:textId="77777777" w:rsidR="0081633A" w:rsidRDefault="0081633A" w:rsidP="00097BA5">
      <w:r>
        <w:separator/>
      </w:r>
    </w:p>
  </w:footnote>
  <w:footnote w:type="continuationSeparator" w:id="0">
    <w:p w14:paraId="0C9B8B7F" w14:textId="77777777" w:rsidR="0081633A" w:rsidRDefault="0081633A"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3BB5"/>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379D"/>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E3EA8"/>
    <w:rsid w:val="005F0598"/>
    <w:rsid w:val="005F1505"/>
    <w:rsid w:val="005F2C42"/>
    <w:rsid w:val="005F3A77"/>
    <w:rsid w:val="005F3AEF"/>
    <w:rsid w:val="005F48A0"/>
    <w:rsid w:val="005F520B"/>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17639"/>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633A"/>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69BA"/>
    <w:rsid w:val="00957C5E"/>
    <w:rsid w:val="009609D7"/>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4E9F"/>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636"/>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2349"/>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2B18"/>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2A21"/>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2022-10-10T09:16:00Z</cp:lastPrinted>
  <dcterms:created xsi:type="dcterms:W3CDTF">2024-04-04T12:50:00Z</dcterms:created>
  <dcterms:modified xsi:type="dcterms:W3CDTF">2024-04-04T12:50:00Z</dcterms:modified>
</cp:coreProperties>
</file>