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72203D5D" w14:textId="49D2D868" w:rsidR="005C3D24" w:rsidRDefault="00AD5756" w:rsidP="00AD5756">
      <w:pPr>
        <w:pStyle w:val="BodyText"/>
        <w:ind w:left="1440" w:firstLine="720"/>
        <w:jc w:val="center"/>
        <w:rPr>
          <w:b/>
          <w:color w:val="0000FF"/>
          <w:sz w:val="28"/>
          <w:szCs w:val="28"/>
          <w:lang w:val="ro-RO" w:eastAsia="ro-RO"/>
        </w:rPr>
      </w:pPr>
      <w:r w:rsidRPr="00AD5756">
        <w:rPr>
          <w:b/>
          <w:color w:val="0000FF"/>
          <w:sz w:val="28"/>
          <w:szCs w:val="28"/>
          <w:lang w:val="ro-RO" w:eastAsia="ro-RO"/>
        </w:rPr>
        <w:t>Servicii de inchiriere echipamente si decor eveniment POLI CHEMQUEST</w:t>
      </w:r>
    </w:p>
    <w:p w14:paraId="6BA0C08E" w14:textId="77777777" w:rsidR="00A6586B" w:rsidRPr="00EB724C" w:rsidRDefault="00A6586B"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EB1974">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63BB532C" w14:textId="19DD52A3" w:rsidR="0071201B" w:rsidRDefault="00AD5756" w:rsidP="009B3E95">
      <w:pPr>
        <w:pStyle w:val="BodyText"/>
        <w:rPr>
          <w:b/>
          <w:color w:val="0000FF"/>
          <w:sz w:val="28"/>
          <w:szCs w:val="28"/>
          <w:lang w:val="ro-RO" w:eastAsia="ro-RO"/>
        </w:rPr>
      </w:pPr>
      <w:r w:rsidRPr="00AD5756">
        <w:rPr>
          <w:b/>
          <w:color w:val="0000FF"/>
          <w:sz w:val="28"/>
          <w:szCs w:val="28"/>
          <w:lang w:val="ro-RO" w:eastAsia="ro-RO"/>
        </w:rPr>
        <w:t>Servicii de inchiriere echipamente si decor eveniment POLI CHEMQUEST</w:t>
      </w: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3FBA5D0E"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AD5756" w:rsidRPr="00AD5756">
        <w:rPr>
          <w:rFonts w:ascii="Arial" w:hAnsi="Arial" w:cs="Arial"/>
          <w:b/>
          <w:color w:val="0000FF"/>
          <w:sz w:val="24"/>
          <w:lang w:val="ro-RO"/>
        </w:rPr>
        <w:t>Servicii de inchiriere echipamente si decor eveniment POLI CHEMQUEST</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EB1974">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02D16D95" w14:textId="4C44D809" w:rsidR="005014A8"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D26971" w:rsidRPr="00D26971">
        <w:rPr>
          <w:rFonts w:ascii="Arial" w:hAnsi="Arial" w:cs="Arial"/>
          <w:b/>
          <w:color w:val="0000FF"/>
          <w:sz w:val="24"/>
          <w:lang w:val="ro-RO"/>
        </w:rPr>
        <w:t>Servicii de inchiriere echipamente si decor eveniment POLI CHEMQUEST</w:t>
      </w:r>
    </w:p>
    <w:p w14:paraId="66B8F535" w14:textId="77777777" w:rsidR="00D26971" w:rsidRPr="00E27525" w:rsidRDefault="00D26971" w:rsidP="009B3E95">
      <w:pPr>
        <w:ind w:right="-6"/>
        <w:jc w:val="both"/>
        <w:rPr>
          <w:rFonts w:ascii="Arial" w:hAnsi="Arial" w:cs="Arial"/>
          <w:b/>
          <w:sz w:val="24"/>
          <w:lang w:val="ro-RO"/>
        </w:rPr>
      </w:pPr>
    </w:p>
    <w:p w14:paraId="2ED01D23" w14:textId="351993D6" w:rsidR="005014A8"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D26971" w:rsidRPr="00D26971">
        <w:rPr>
          <w:rFonts w:ascii="Arial" w:hAnsi="Arial" w:cs="Arial"/>
          <w:b/>
          <w:color w:val="0000FF"/>
          <w:sz w:val="24"/>
          <w:lang w:val="ro-RO"/>
        </w:rPr>
        <w:t>Servicii de inchiriere echipamente si decor eveniment POLI CHEMQUEST</w:t>
      </w:r>
    </w:p>
    <w:p w14:paraId="634882F0" w14:textId="77777777" w:rsidR="00D26971" w:rsidRDefault="00D26971"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EB1974">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3F5FB5B" w:rsidR="0031795C" w:rsidRPr="007D59AD" w:rsidRDefault="005014A8" w:rsidP="007B39F5">
            <w:pPr>
              <w:pStyle w:val="TableParagraph"/>
              <w:spacing w:line="247" w:lineRule="exact"/>
              <w:ind w:left="0"/>
              <w:rPr>
                <w:rFonts w:ascii="Arial" w:hAnsi="Arial" w:cs="Arial"/>
                <w:color w:val="0000FF"/>
                <w:lang w:val="ro-RO"/>
              </w:rPr>
            </w:pPr>
            <w:r>
              <w:rPr>
                <w:rFonts w:ascii="Arial" w:hAnsi="Arial" w:cs="Arial"/>
                <w:color w:val="0000FF"/>
                <w:lang w:val="ro-RO"/>
              </w:rPr>
              <w:t>28</w:t>
            </w:r>
            <w:r w:rsidR="00E55844">
              <w:rPr>
                <w:rFonts w:ascii="Arial" w:hAnsi="Arial" w:cs="Arial"/>
                <w:color w:val="0000FF"/>
                <w:lang w:val="ro-RO"/>
              </w:rPr>
              <w:t>.03.2024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2B084A96" w:rsidR="0031795C" w:rsidRPr="007D59AD" w:rsidRDefault="005014A8" w:rsidP="007B39F5">
            <w:pPr>
              <w:pStyle w:val="TableParagraph"/>
              <w:spacing w:line="247" w:lineRule="exact"/>
              <w:ind w:left="0"/>
              <w:rPr>
                <w:rFonts w:ascii="Arial" w:hAnsi="Arial" w:cs="Arial"/>
                <w:color w:val="0000FF"/>
                <w:lang w:val="ro-RO"/>
              </w:rPr>
            </w:pPr>
            <w:r>
              <w:rPr>
                <w:rFonts w:ascii="Arial" w:hAnsi="Arial" w:cs="Arial"/>
                <w:color w:val="0000FF"/>
                <w:lang w:val="ro-RO"/>
              </w:rPr>
              <w:t>02.04</w:t>
            </w:r>
            <w:r w:rsidR="00E55844">
              <w:rPr>
                <w:rFonts w:ascii="Arial" w:hAnsi="Arial" w:cs="Arial"/>
                <w:color w:val="0000FF"/>
                <w:lang w:val="ro-RO"/>
              </w:rPr>
              <w:t>.2024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77872452" w:rsidR="0031795C" w:rsidRPr="007D59AD" w:rsidRDefault="005014A8" w:rsidP="00F7644B">
            <w:pPr>
              <w:pStyle w:val="TableParagraph"/>
              <w:spacing w:line="247" w:lineRule="exact"/>
              <w:ind w:left="0"/>
              <w:rPr>
                <w:rFonts w:ascii="Arial" w:hAnsi="Arial" w:cs="Arial"/>
                <w:color w:val="0000FF"/>
                <w:lang w:val="ro-RO"/>
              </w:rPr>
            </w:pPr>
            <w:r>
              <w:rPr>
                <w:rFonts w:ascii="Arial" w:hAnsi="Arial" w:cs="Arial"/>
                <w:color w:val="0000FF"/>
                <w:lang w:val="ro-RO"/>
              </w:rPr>
              <w:t>02.04</w:t>
            </w:r>
            <w:r w:rsidR="00E55844">
              <w:rPr>
                <w:rFonts w:ascii="Arial" w:hAnsi="Arial" w:cs="Arial"/>
                <w:color w:val="0000FF"/>
                <w:lang w:val="ro-RO"/>
              </w:rPr>
              <w:t>.2024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39D0E280" w:rsidR="0031795C" w:rsidRPr="007D59AD" w:rsidRDefault="005014A8" w:rsidP="00DA618B">
            <w:pPr>
              <w:pStyle w:val="TableParagraph"/>
              <w:spacing w:line="247" w:lineRule="exact"/>
              <w:ind w:left="0"/>
              <w:rPr>
                <w:rFonts w:ascii="Arial" w:hAnsi="Arial" w:cs="Arial"/>
                <w:color w:val="0000FF"/>
                <w:lang w:val="ro-RO"/>
              </w:rPr>
            </w:pPr>
            <w:r>
              <w:rPr>
                <w:rFonts w:ascii="Arial" w:hAnsi="Arial" w:cs="Arial"/>
                <w:color w:val="0000FF"/>
                <w:lang w:val="ro-RO"/>
              </w:rPr>
              <w:t>05.04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Pr>
                <w:rFonts w:ascii="Arial" w:hAnsi="Arial" w:cs="Arial"/>
                <w:color w:val="0000FF"/>
                <w:lang w:val="ro-RO"/>
              </w:rPr>
              <w:t>1</w:t>
            </w:r>
            <w:r w:rsidR="00D26971">
              <w:rPr>
                <w:rFonts w:ascii="Arial" w:hAnsi="Arial" w:cs="Arial"/>
                <w:color w:val="0000FF"/>
                <w:lang w:val="ro-RO"/>
              </w:rPr>
              <w:t>1</w:t>
            </w:r>
            <w:r w:rsidR="00E55844">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720A26CA" w:rsidR="0031795C" w:rsidRPr="007D59AD" w:rsidRDefault="005014A8" w:rsidP="000676F6">
            <w:pPr>
              <w:pStyle w:val="TableParagraph"/>
              <w:spacing w:line="249" w:lineRule="exact"/>
              <w:ind w:left="0"/>
              <w:rPr>
                <w:rFonts w:ascii="Arial" w:hAnsi="Arial" w:cs="Arial"/>
                <w:color w:val="0000FF"/>
                <w:lang w:val="ro-RO"/>
              </w:rPr>
            </w:pPr>
            <w:r>
              <w:rPr>
                <w:rFonts w:ascii="Arial" w:hAnsi="Arial" w:cs="Arial"/>
                <w:color w:val="0000FF"/>
                <w:lang w:val="ro-RO"/>
              </w:rPr>
              <w:t>05.04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sidR="00D26971">
              <w:rPr>
                <w:rFonts w:ascii="Arial" w:hAnsi="Arial" w:cs="Arial"/>
                <w:color w:val="0000FF"/>
                <w:lang w:val="ro-RO"/>
              </w:rPr>
              <w:t>2</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1FF0D8EA" w:rsidR="0031795C" w:rsidRPr="007D59AD" w:rsidRDefault="005014A8" w:rsidP="007B39F5">
            <w:pPr>
              <w:pStyle w:val="TableParagraph"/>
              <w:spacing w:line="247" w:lineRule="exact"/>
              <w:ind w:left="0"/>
              <w:rPr>
                <w:rFonts w:ascii="Arial" w:hAnsi="Arial" w:cs="Arial"/>
                <w:color w:val="0000FF"/>
                <w:lang w:val="ro-RO"/>
              </w:rPr>
            </w:pPr>
            <w:r>
              <w:rPr>
                <w:rFonts w:ascii="Arial" w:hAnsi="Arial" w:cs="Arial"/>
                <w:color w:val="0000FF"/>
                <w:lang w:val="ro-RO"/>
              </w:rPr>
              <w:t>08.04</w:t>
            </w:r>
            <w:r w:rsidR="00E55844">
              <w:rPr>
                <w:rFonts w:ascii="Arial" w:hAnsi="Arial" w:cs="Arial"/>
                <w:color w:val="0000FF"/>
                <w:lang w:val="ro-RO"/>
              </w:rPr>
              <w:t>.2024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2F7CF8EA" w:rsidR="0031795C" w:rsidRPr="007D59AD" w:rsidRDefault="005014A8" w:rsidP="007B39F5">
            <w:pPr>
              <w:pStyle w:val="TableParagraph"/>
              <w:spacing w:line="247" w:lineRule="exact"/>
              <w:ind w:left="0"/>
              <w:rPr>
                <w:rFonts w:ascii="Arial" w:hAnsi="Arial" w:cs="Arial"/>
                <w:color w:val="0000FF"/>
                <w:lang w:val="ro-RO"/>
              </w:rPr>
            </w:pPr>
            <w:r>
              <w:rPr>
                <w:rFonts w:ascii="Arial" w:hAnsi="Arial" w:cs="Arial"/>
                <w:color w:val="0000FF"/>
                <w:lang w:val="ro-RO"/>
              </w:rPr>
              <w:t>09.04</w:t>
            </w:r>
            <w:r w:rsidR="00E55844">
              <w:rPr>
                <w:rFonts w:ascii="Arial" w:hAnsi="Arial" w:cs="Arial"/>
                <w:color w:val="0000FF"/>
                <w:lang w:val="ro-RO"/>
              </w:rPr>
              <w:t>.2024</w:t>
            </w:r>
          </w:p>
        </w:tc>
      </w:tr>
    </w:tbl>
    <w:p w14:paraId="5A741BC1" w14:textId="77777777" w:rsidR="0031795C" w:rsidRPr="00E27525" w:rsidRDefault="0031795C">
      <w:pPr>
        <w:spacing w:line="247" w:lineRule="exact"/>
        <w:rPr>
          <w:rFonts w:ascii="Arial" w:hAnsi="Arial" w:cs="Arial"/>
          <w:lang w:val="ro-RO"/>
        </w:rPr>
        <w:sectPr w:rsidR="0031795C" w:rsidRPr="00E27525" w:rsidSect="00EB1974">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0CB7E288"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713390">
              <w:rPr>
                <w:rFonts w:ascii="Arial" w:hAnsi="Arial" w:cs="Arial"/>
                <w:color w:val="0000FF"/>
                <w:lang w:val="ro-RO"/>
              </w:rPr>
              <w:t>02.04</w:t>
            </w:r>
            <w:r w:rsidR="00ED13D8">
              <w:rPr>
                <w:rFonts w:ascii="Arial" w:hAnsi="Arial" w:cs="Arial"/>
                <w:color w:val="0000FF"/>
                <w:lang w:val="ro-RO"/>
              </w:rPr>
              <w:t>.2024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31E99724"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713390">
              <w:rPr>
                <w:rFonts w:ascii="Arial" w:hAnsi="Arial" w:cs="Arial"/>
                <w:color w:val="0000FF"/>
                <w:lang w:val="ro-RO"/>
              </w:rPr>
              <w:t>03.04</w:t>
            </w:r>
            <w:r w:rsidR="00ED13D8">
              <w:rPr>
                <w:rFonts w:ascii="Arial" w:hAnsi="Arial" w:cs="Arial"/>
                <w:color w:val="0000FF"/>
                <w:lang w:val="ro-RO"/>
              </w:rPr>
              <w:t>.2024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294BF75D" w:rsidR="0031795C" w:rsidRPr="00127705" w:rsidRDefault="00B26E0A" w:rsidP="00173D3A">
            <w:pPr>
              <w:pStyle w:val="TableParagraph"/>
              <w:spacing w:before="5" w:line="252" w:lineRule="exact"/>
              <w:ind w:right="303"/>
              <w:jc w:val="both"/>
              <w:rPr>
                <w:rFonts w:ascii="Arial" w:hAnsi="Arial" w:cs="Arial"/>
                <w:color w:val="0000FF"/>
                <w:lang w:val="ro-RO"/>
              </w:rPr>
            </w:pPr>
            <w:r w:rsidRPr="00B26E0A">
              <w:rPr>
                <w:rFonts w:ascii="Arial" w:hAnsi="Arial" w:cs="Arial"/>
                <w:b/>
                <w:color w:val="0000FF"/>
                <w:sz w:val="24"/>
                <w:lang w:val="ro-RO"/>
              </w:rPr>
              <w:t>Servicii de inchiriere echipamente si decor eveniment POLI CHEMQUEST</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1FB2D144" w14:textId="77777777" w:rsidR="00B26E0A" w:rsidRDefault="00B26E0A">
            <w:pPr>
              <w:pStyle w:val="TableParagraph"/>
              <w:ind w:left="0"/>
              <w:rPr>
                <w:rFonts w:ascii="Arial" w:hAnsi="Arial" w:cs="Arial"/>
                <w:b/>
                <w:color w:val="0000FF"/>
                <w:sz w:val="24"/>
                <w:lang w:val="ro-RO"/>
              </w:rPr>
            </w:pPr>
            <w:r w:rsidRPr="00B26E0A">
              <w:rPr>
                <w:rFonts w:ascii="Arial" w:hAnsi="Arial" w:cs="Arial"/>
                <w:b/>
                <w:color w:val="0000FF"/>
                <w:sz w:val="24"/>
                <w:lang w:val="ro-RO"/>
              </w:rPr>
              <w:t>Servicii de inchiriere echipamente si decor eveniment POLI CHEMQUEST</w:t>
            </w:r>
            <w:r w:rsidRPr="00B26E0A">
              <w:rPr>
                <w:rFonts w:ascii="Arial" w:hAnsi="Arial" w:cs="Arial"/>
                <w:b/>
                <w:color w:val="0000FF"/>
                <w:sz w:val="24"/>
                <w:lang w:val="ro-RO"/>
              </w:rPr>
              <w:t xml:space="preserve"> </w:t>
            </w:r>
          </w:p>
          <w:p w14:paraId="239B01B6" w14:textId="3FA45DE4"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378001B4"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713390">
              <w:rPr>
                <w:rFonts w:ascii="Arial" w:hAnsi="Arial" w:cs="Arial"/>
                <w:b/>
                <w:color w:val="0000FF"/>
                <w:lang w:val="ro-RO"/>
              </w:rPr>
              <w:t>33613,45</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4A5E8724" w:rsidR="0031795C" w:rsidRPr="00A864DF" w:rsidRDefault="00B26E0A">
            <w:pPr>
              <w:pStyle w:val="TableParagraph"/>
              <w:spacing w:line="238" w:lineRule="exact"/>
              <w:jc w:val="both"/>
              <w:rPr>
                <w:rFonts w:ascii="Arial" w:hAnsi="Arial" w:cs="Arial"/>
                <w:color w:val="0000FF"/>
                <w:lang w:val="ro-RO"/>
              </w:rPr>
            </w:pPr>
            <w:r w:rsidRPr="00B26E0A">
              <w:rPr>
                <w:rFonts w:ascii="Arial" w:hAnsi="Arial" w:cs="Arial"/>
                <w:b/>
                <w:color w:val="0000FF"/>
                <w:sz w:val="24"/>
                <w:lang w:val="ro-RO"/>
              </w:rPr>
              <w:t>Servicii de inchiriere echipamente si decor eveniment POLI CHEMQUEST</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0F8E16DB" w:rsidR="00843DEC" w:rsidRPr="00FC63F4" w:rsidRDefault="00713390" w:rsidP="00900027">
            <w:pPr>
              <w:pStyle w:val="TableParagraph"/>
              <w:rPr>
                <w:rFonts w:ascii="Arial" w:hAnsi="Arial" w:cs="Arial"/>
                <w:lang w:val="ro-RO"/>
              </w:rPr>
            </w:pPr>
            <w:r w:rsidRPr="00713390">
              <w:rPr>
                <w:rFonts w:ascii="Arial" w:hAnsi="Arial" w:cs="Arial"/>
                <w:b/>
                <w:color w:val="0000FF"/>
                <w:sz w:val="24"/>
                <w:lang w:val="ro-RO"/>
              </w:rPr>
              <w:t xml:space="preserve">Servicii de organizare conferinte eveniment POLI CHEMQUEST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lastRenderedPageBreak/>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309B969F"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w:t>
            </w:r>
            <w:r w:rsidR="00713390">
              <w:rPr>
                <w:rFonts w:ascii="Arial" w:hAnsi="Arial" w:cs="Arial"/>
                <w:b/>
                <w:lang w:val="ro-RO"/>
              </w:rPr>
              <w:t>Politehnica Bucuresti</w:t>
            </w:r>
            <w:r w:rsidRPr="00E27525">
              <w:rPr>
                <w:rFonts w:ascii="Arial" w:hAnsi="Arial" w:cs="Arial"/>
                <w:b/>
                <w:lang w:val="ro-RO"/>
              </w:rPr>
              <w:t xml:space="preserve">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25FE94F2"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00713390">
              <w:rPr>
                <w:rFonts w:ascii="Arial" w:hAnsi="Arial" w:cs="Arial"/>
                <w:lang w:val="ro-RO"/>
              </w:rPr>
              <w:t>Politehnica Bucuresti</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lastRenderedPageBreak/>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23BAC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lastRenderedPageBreak/>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lastRenderedPageBreak/>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56FC6986"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D53602">
              <w:rPr>
                <w:rFonts w:ascii="Arial" w:hAnsi="Arial" w:cs="Arial"/>
                <w:color w:val="0000FF"/>
                <w:lang w:val="ro-RO"/>
              </w:rPr>
              <w:t>Politehnica Bucuresti</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0D8B66AD"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3"/>
            <w:r w:rsidR="00D53602">
              <w:rPr>
                <w:rFonts w:ascii="Arial" w:hAnsi="Arial" w:cs="Arial"/>
                <w:color w:val="0000FF"/>
                <w:lang w:val="ro-RO"/>
              </w:rPr>
              <w:t>35</w:t>
            </w:r>
            <w:r w:rsidR="00B26E0A">
              <w:rPr>
                <w:rFonts w:ascii="Arial" w:hAnsi="Arial" w:cs="Arial"/>
                <w:color w:val="0000FF"/>
                <w:lang w:val="ro-RO"/>
              </w:rPr>
              <w:t>1</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68FC5BE2" w14:textId="786A4B32" w:rsidR="00ED13D8" w:rsidRPr="00ED13D8"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B26E0A" w:rsidRPr="00B26E0A">
              <w:rPr>
                <w:rFonts w:ascii="Arial" w:hAnsi="Arial" w:cs="Arial"/>
                <w:b/>
                <w:color w:val="0000FF"/>
                <w:sz w:val="24"/>
                <w:lang w:val="ro-RO"/>
              </w:rPr>
              <w:t>Servicii de inchiriere echipamente si decor eveniment POLI CHEMQUEST</w:t>
            </w:r>
          </w:p>
          <w:p w14:paraId="0932BF13" w14:textId="4F00B3BE"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41E2CFBC"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D53602">
              <w:rPr>
                <w:rFonts w:ascii="Arial" w:hAnsi="Arial" w:cs="Arial"/>
                <w:color w:val="0000FF"/>
                <w:lang w:val="ro-RO"/>
              </w:rPr>
              <w:t>02.04</w:t>
            </w:r>
            <w:r w:rsidR="00ED13D8">
              <w:rPr>
                <w:rFonts w:ascii="Arial" w:hAnsi="Arial" w:cs="Arial"/>
                <w:color w:val="0000FF"/>
                <w:lang w:val="ro-RO"/>
              </w:rPr>
              <w:t>.2024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24751A49"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D53602">
              <w:rPr>
                <w:rFonts w:ascii="Arial" w:hAnsi="Arial" w:cs="Arial"/>
                <w:color w:val="0000FF"/>
                <w:lang w:val="ro-RO"/>
              </w:rPr>
              <w:t>03.04</w:t>
            </w:r>
            <w:r w:rsidR="00ED13D8">
              <w:rPr>
                <w:rFonts w:ascii="Arial" w:hAnsi="Arial" w:cs="Arial"/>
                <w:color w:val="0000FF"/>
                <w:lang w:val="ro-RO"/>
              </w:rPr>
              <w:t>.2024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EB1974">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38837C6A"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B26E0A" w:rsidRPr="00B26E0A">
        <w:rPr>
          <w:rFonts w:ascii="Arial" w:hAnsi="Arial" w:cs="Arial"/>
          <w:b/>
          <w:color w:val="0000FF"/>
          <w:sz w:val="24"/>
          <w:lang w:val="ro-RO"/>
        </w:rPr>
        <w:t>Servicii de inchiriere echipamente si decor eveniment POLI CHEMQUEST</w:t>
      </w:r>
      <w:r w:rsidR="00B26E0A" w:rsidRPr="00B26E0A">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EB197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7B573D89"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B26E0A" w:rsidRPr="00B26E0A">
        <w:rPr>
          <w:rFonts w:ascii="Arial" w:hAnsi="Arial" w:cs="Arial"/>
          <w:b/>
          <w:color w:val="0000FF"/>
          <w:sz w:val="24"/>
          <w:lang w:val="ro-RO"/>
        </w:rPr>
        <w:t>Servicii de inchiriere echipamente si decor eveniment POLI CHEMQUEST</w:t>
      </w:r>
      <w:r w:rsidR="00B26E0A" w:rsidRPr="00B26E0A">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EB1974">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2C863FE0"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B26E0A" w:rsidRPr="00B26E0A">
        <w:rPr>
          <w:rFonts w:ascii="Arial" w:hAnsi="Arial" w:cs="Arial"/>
          <w:b/>
          <w:color w:val="0000FF"/>
          <w:sz w:val="24"/>
          <w:lang w:val="ro-RO"/>
        </w:rPr>
        <w:t>Servicii de inchiriere echipamente si decor eveniment POLI CHEMQUEST</w:t>
      </w:r>
      <w:r w:rsidR="00B26E0A" w:rsidRPr="00B26E0A">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EB1974">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487ABBA9"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B26E0A" w:rsidRPr="00B26E0A">
        <w:rPr>
          <w:rFonts w:ascii="Arial" w:hAnsi="Arial" w:cs="Arial"/>
          <w:b/>
          <w:color w:val="0000FF"/>
          <w:sz w:val="24"/>
          <w:lang w:val="ro-RO"/>
        </w:rPr>
        <w:t>Servicii de inchiriere echipamente si decor eveniment POLI CHEMQUEST</w:t>
      </w:r>
      <w:r w:rsidR="00F439C8" w:rsidRPr="00F439C8">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28F926D8"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EB1974">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6A3FBA8B" w14:textId="2DA9F1E9" w:rsidR="005076D8" w:rsidRPr="00E27525" w:rsidRDefault="00771593" w:rsidP="00677680">
      <w:pPr>
        <w:ind w:right="-6"/>
        <w:jc w:val="both"/>
        <w:rPr>
          <w:rFonts w:ascii="Arial" w:hAnsi="Arial" w:cs="Arial"/>
          <w:b/>
          <w:sz w:val="24"/>
          <w:lang w:val="ro-RO"/>
        </w:rPr>
      </w:pPr>
      <w:r w:rsidRPr="00771593">
        <w:rPr>
          <w:rFonts w:ascii="Arial" w:hAnsi="Arial" w:cs="Arial"/>
          <w:b/>
          <w:color w:val="0000FF"/>
          <w:sz w:val="24"/>
          <w:lang w:val="ro-RO"/>
        </w:rPr>
        <w:t xml:space="preserve">Servicii de organizare evenimente- </w:t>
      </w:r>
      <w:r w:rsidR="00B26E0A" w:rsidRPr="00B26E0A">
        <w:rPr>
          <w:rFonts w:ascii="Arial" w:hAnsi="Arial" w:cs="Arial"/>
          <w:b/>
          <w:color w:val="0000FF"/>
          <w:sz w:val="24"/>
          <w:lang w:val="ro-RO"/>
        </w:rPr>
        <w:t>Servicii de inchiriere echipamente si decor eveniment POLI CHEMQUEST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EB1974">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EB1974">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18DED655" w14:textId="713D974A" w:rsidR="0031795C"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B26E0A" w:rsidRPr="00B26E0A">
        <w:rPr>
          <w:rFonts w:ascii="Arial" w:hAnsi="Arial" w:cs="Arial"/>
          <w:b/>
          <w:color w:val="0000FF"/>
          <w:sz w:val="24"/>
          <w:lang w:val="ro-RO"/>
        </w:rPr>
        <w:t>Servicii de inchiriere echipamente si decor eveniment POLI CHEMQUEST</w:t>
      </w:r>
    </w:p>
    <w:p w14:paraId="2463D3C5" w14:textId="77777777" w:rsidR="00B96CF4" w:rsidRPr="00E27525" w:rsidRDefault="00B96CF4"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EB197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EB1974">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13B8A2BE"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B26E0A" w:rsidRPr="00B26E0A">
        <w:rPr>
          <w:rFonts w:ascii="Arial" w:hAnsi="Arial" w:cs="Arial"/>
          <w:b/>
          <w:color w:val="0000FF"/>
          <w:sz w:val="24"/>
          <w:lang w:val="ro-RO"/>
        </w:rPr>
        <w:t>Servicii de inchiriere echipamente si decor eveniment POLI CHEMQUEST</w:t>
      </w:r>
      <w:r w:rsidR="00B26E0A" w:rsidRPr="00B26E0A">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B26E0A" w:rsidRPr="00B26E0A">
        <w:rPr>
          <w:rFonts w:ascii="Arial" w:hAnsi="Arial" w:cs="Arial"/>
          <w:b/>
          <w:color w:val="0000FF"/>
          <w:sz w:val="24"/>
          <w:lang w:val="ro-RO"/>
        </w:rPr>
        <w:t>Servicii de inchiriere echipamente si decor eveniment POLI CHEMQUEST</w:t>
      </w:r>
      <w:r w:rsidR="00B26E0A" w:rsidRPr="00B26E0A">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EB1974">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2391D43A" w:rsidR="00932ECE" w:rsidRPr="00933C25" w:rsidRDefault="00B26E0A" w:rsidP="00B96CF4">
            <w:pPr>
              <w:rPr>
                <w:rFonts w:asciiTheme="minorHAnsi" w:hAnsiTheme="minorHAnsi" w:cstheme="minorHAnsi"/>
                <w:color w:val="000000"/>
              </w:rPr>
            </w:pPr>
            <w:r w:rsidRPr="00B26E0A">
              <w:rPr>
                <w:rFonts w:ascii="Arial" w:hAnsi="Arial" w:cs="Arial"/>
                <w:bCs/>
                <w:i/>
                <w:iCs/>
                <w:lang w:val="ro-RO"/>
              </w:rPr>
              <w:t>Servicii de inchiriere echipamente si decor eveniment POLI CHEMQUEST</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EB1974">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EB1974">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4E904358" w14:textId="3F1A08F0" w:rsidR="00F439C8" w:rsidRDefault="00B26E0A" w:rsidP="00F44B33">
      <w:pPr>
        <w:pStyle w:val="BodyText"/>
        <w:rPr>
          <w:rFonts w:ascii="Arial" w:hAnsi="Arial" w:cs="Arial"/>
          <w:b/>
          <w:color w:val="0000FF"/>
          <w:sz w:val="24"/>
          <w:lang w:val="ro-RO"/>
        </w:rPr>
      </w:pPr>
      <w:r w:rsidRPr="00B26E0A">
        <w:rPr>
          <w:rFonts w:ascii="Arial" w:hAnsi="Arial" w:cs="Arial"/>
          <w:b/>
          <w:color w:val="0000FF"/>
          <w:sz w:val="24"/>
          <w:lang w:val="ro-RO"/>
        </w:rPr>
        <w:t>Servicii de inchiriere echipamente si decor eveniment POLI CHEMQUEST</w:t>
      </w:r>
    </w:p>
    <w:p w14:paraId="76F9E9C5" w14:textId="77777777" w:rsidR="00B26E0A" w:rsidRPr="00E27525" w:rsidRDefault="00B26E0A"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EB1974">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7B5F8F0A"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proofErr w:type="spellStart"/>
      <w:r w:rsidR="00B26E0A" w:rsidRPr="00B26E0A">
        <w:rPr>
          <w:rFonts w:asciiTheme="minorHAnsi" w:hAnsiTheme="minorHAnsi" w:cstheme="minorHAnsi"/>
          <w:b/>
          <w:i/>
          <w:iCs/>
        </w:rPr>
        <w:t>Servicii</w:t>
      </w:r>
      <w:proofErr w:type="spellEnd"/>
      <w:r w:rsidR="00B26E0A" w:rsidRPr="00B26E0A">
        <w:rPr>
          <w:rFonts w:asciiTheme="minorHAnsi" w:hAnsiTheme="minorHAnsi" w:cstheme="minorHAnsi"/>
          <w:b/>
          <w:i/>
          <w:iCs/>
        </w:rPr>
        <w:t xml:space="preserve"> de </w:t>
      </w:r>
      <w:proofErr w:type="spellStart"/>
      <w:r w:rsidR="00B26E0A" w:rsidRPr="00B26E0A">
        <w:rPr>
          <w:rFonts w:asciiTheme="minorHAnsi" w:hAnsiTheme="minorHAnsi" w:cstheme="minorHAnsi"/>
          <w:b/>
          <w:i/>
          <w:iCs/>
        </w:rPr>
        <w:t>inchiriere</w:t>
      </w:r>
      <w:proofErr w:type="spellEnd"/>
      <w:r w:rsidR="00B26E0A" w:rsidRPr="00B26E0A">
        <w:rPr>
          <w:rFonts w:asciiTheme="minorHAnsi" w:hAnsiTheme="minorHAnsi" w:cstheme="minorHAnsi"/>
          <w:b/>
          <w:i/>
          <w:iCs/>
        </w:rPr>
        <w:t xml:space="preserve"> </w:t>
      </w:r>
      <w:proofErr w:type="spellStart"/>
      <w:r w:rsidR="00B26E0A" w:rsidRPr="00B26E0A">
        <w:rPr>
          <w:rFonts w:asciiTheme="minorHAnsi" w:hAnsiTheme="minorHAnsi" w:cstheme="minorHAnsi"/>
          <w:b/>
          <w:i/>
          <w:iCs/>
        </w:rPr>
        <w:t>echipamente</w:t>
      </w:r>
      <w:proofErr w:type="spellEnd"/>
      <w:r w:rsidR="00B26E0A" w:rsidRPr="00B26E0A">
        <w:rPr>
          <w:rFonts w:asciiTheme="minorHAnsi" w:hAnsiTheme="minorHAnsi" w:cstheme="minorHAnsi"/>
          <w:b/>
          <w:i/>
          <w:iCs/>
        </w:rPr>
        <w:t xml:space="preserve"> </w:t>
      </w:r>
      <w:proofErr w:type="spellStart"/>
      <w:r w:rsidR="00B26E0A" w:rsidRPr="00B26E0A">
        <w:rPr>
          <w:rFonts w:asciiTheme="minorHAnsi" w:hAnsiTheme="minorHAnsi" w:cstheme="minorHAnsi"/>
          <w:b/>
          <w:i/>
          <w:iCs/>
        </w:rPr>
        <w:t>si</w:t>
      </w:r>
      <w:proofErr w:type="spellEnd"/>
      <w:r w:rsidR="00B26E0A" w:rsidRPr="00B26E0A">
        <w:rPr>
          <w:rFonts w:asciiTheme="minorHAnsi" w:hAnsiTheme="minorHAnsi" w:cstheme="minorHAnsi"/>
          <w:b/>
          <w:i/>
          <w:iCs/>
        </w:rPr>
        <w:t xml:space="preserve"> decor </w:t>
      </w:r>
      <w:proofErr w:type="spellStart"/>
      <w:r w:rsidR="00B26E0A" w:rsidRPr="00B26E0A">
        <w:rPr>
          <w:rFonts w:asciiTheme="minorHAnsi" w:hAnsiTheme="minorHAnsi" w:cstheme="minorHAnsi"/>
          <w:b/>
          <w:i/>
          <w:iCs/>
        </w:rPr>
        <w:t>eveniment</w:t>
      </w:r>
      <w:proofErr w:type="spellEnd"/>
      <w:r w:rsidR="00B26E0A" w:rsidRPr="00B26E0A">
        <w:rPr>
          <w:rFonts w:asciiTheme="minorHAnsi" w:hAnsiTheme="minorHAnsi" w:cstheme="minorHAnsi"/>
          <w:b/>
          <w:i/>
          <w:iCs/>
        </w:rPr>
        <w:t xml:space="preserve"> POLI CHEMQUEST</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Default="00C22D4E" w:rsidP="00C22D4E">
      <w:pPr>
        <w:pStyle w:val="DefaultText"/>
        <w:jc w:val="both"/>
        <w:rPr>
          <w:rFonts w:asciiTheme="minorHAnsi" w:hAnsiTheme="minorHAnsi" w:cstheme="minorHAnsi"/>
          <w:sz w:val="22"/>
          <w:szCs w:val="22"/>
        </w:rPr>
      </w:pPr>
    </w:p>
    <w:p w14:paraId="0B2ACE81" w14:textId="77777777" w:rsidR="00C85075" w:rsidRDefault="00C85075" w:rsidP="00C22D4E">
      <w:pPr>
        <w:pStyle w:val="DefaultText"/>
        <w:jc w:val="both"/>
        <w:rPr>
          <w:rFonts w:asciiTheme="minorHAnsi" w:hAnsiTheme="minorHAnsi" w:cstheme="minorHAnsi"/>
          <w:sz w:val="22"/>
          <w:szCs w:val="22"/>
        </w:rPr>
      </w:pPr>
    </w:p>
    <w:p w14:paraId="4587D955" w14:textId="77777777" w:rsidR="00C85075" w:rsidRDefault="00C85075" w:rsidP="00C22D4E">
      <w:pPr>
        <w:pStyle w:val="DefaultText"/>
        <w:jc w:val="both"/>
        <w:rPr>
          <w:rFonts w:asciiTheme="minorHAnsi" w:hAnsiTheme="minorHAnsi" w:cstheme="minorHAnsi"/>
          <w:sz w:val="22"/>
          <w:szCs w:val="22"/>
        </w:rPr>
      </w:pPr>
    </w:p>
    <w:p w14:paraId="09684597" w14:textId="77777777" w:rsidR="00C85075" w:rsidRPr="00417359" w:rsidRDefault="00C85075"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EB1974">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738A7" w14:textId="77777777" w:rsidR="00EB1974" w:rsidRDefault="00EB1974">
      <w:r>
        <w:separator/>
      </w:r>
    </w:p>
  </w:endnote>
  <w:endnote w:type="continuationSeparator" w:id="0">
    <w:p w14:paraId="46409332" w14:textId="77777777" w:rsidR="00EB1974" w:rsidRDefault="00EB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8DB1D" w14:textId="77777777" w:rsidR="00EB1974" w:rsidRDefault="00EB1974">
      <w:bookmarkStart w:id="0" w:name="_Hlk525112872"/>
      <w:bookmarkEnd w:id="0"/>
      <w:r>
        <w:separator/>
      </w:r>
    </w:p>
  </w:footnote>
  <w:footnote w:type="continuationSeparator" w:id="0">
    <w:p w14:paraId="434FEAD7" w14:textId="77777777" w:rsidR="00EB1974" w:rsidRDefault="00EB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4A8"/>
    <w:rsid w:val="005019A4"/>
    <w:rsid w:val="005024C6"/>
    <w:rsid w:val="00502C41"/>
    <w:rsid w:val="005076D8"/>
    <w:rsid w:val="00507722"/>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3390"/>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CC"/>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5B4C"/>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586B"/>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450C"/>
    <w:rsid w:val="00AC7D5B"/>
    <w:rsid w:val="00AD2B4F"/>
    <w:rsid w:val="00AD5756"/>
    <w:rsid w:val="00AD7E9E"/>
    <w:rsid w:val="00AE0D58"/>
    <w:rsid w:val="00B11710"/>
    <w:rsid w:val="00B209D6"/>
    <w:rsid w:val="00B22A9E"/>
    <w:rsid w:val="00B23E3B"/>
    <w:rsid w:val="00B26E0A"/>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075"/>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6971"/>
    <w:rsid w:val="00D272A1"/>
    <w:rsid w:val="00D34EBE"/>
    <w:rsid w:val="00D35B57"/>
    <w:rsid w:val="00D37D5C"/>
    <w:rsid w:val="00D5280F"/>
    <w:rsid w:val="00D53602"/>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B6476"/>
    <w:rsid w:val="00DC1563"/>
    <w:rsid w:val="00DC1B4D"/>
    <w:rsid w:val="00DC3F74"/>
    <w:rsid w:val="00DE04D8"/>
    <w:rsid w:val="00DF2641"/>
    <w:rsid w:val="00DF27DE"/>
    <w:rsid w:val="00DF68DB"/>
    <w:rsid w:val="00DF753D"/>
    <w:rsid w:val="00E03BCE"/>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197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415AA"/>
    <w:rsid w:val="00F439C8"/>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11897</Words>
  <Characters>67818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4</cp:revision>
  <cp:lastPrinted>2023-05-18T11:19:00Z</cp:lastPrinted>
  <dcterms:created xsi:type="dcterms:W3CDTF">2024-03-28T08:36:00Z</dcterms:created>
  <dcterms:modified xsi:type="dcterms:W3CDTF">2024-03-28T08:39:00Z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